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74F7C" w14:textId="77777777" w:rsidR="00AF7BAC" w:rsidRDefault="00240A22">
      <w:pPr>
        <w:pStyle w:val="BodyText"/>
        <w:ind w:left="361"/>
        <w:rPr>
          <w:rFonts w:ascii="Times New Roman"/>
          <w:sz w:val="20"/>
        </w:rPr>
      </w:pPr>
      <w:r>
        <w:rPr>
          <w:rFonts w:ascii="Times New Roman"/>
          <w:noProof/>
          <w:sz w:val="20"/>
        </w:rPr>
        <w:drawing>
          <wp:inline distT="0" distB="0" distL="0" distR="0" wp14:anchorId="38721001" wp14:editId="0ADCBA07">
            <wp:extent cx="7306929" cy="121443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7306929" cy="1214437"/>
                    </a:xfrm>
                    <a:prstGeom prst="rect">
                      <a:avLst/>
                    </a:prstGeom>
                  </pic:spPr>
                </pic:pic>
              </a:graphicData>
            </a:graphic>
          </wp:inline>
        </w:drawing>
      </w:r>
    </w:p>
    <w:p w14:paraId="65313B6F" w14:textId="77777777" w:rsidR="00AF7BAC" w:rsidRDefault="00AF7BAC">
      <w:pPr>
        <w:pStyle w:val="BodyText"/>
        <w:rPr>
          <w:rFonts w:ascii="Times New Roman"/>
          <w:sz w:val="20"/>
        </w:rPr>
      </w:pPr>
    </w:p>
    <w:p w14:paraId="2CC2070A" w14:textId="77777777" w:rsidR="00AF7BAC" w:rsidRDefault="00AF7BAC">
      <w:pPr>
        <w:pStyle w:val="BodyText"/>
        <w:rPr>
          <w:rFonts w:ascii="Times New Roman"/>
          <w:sz w:val="20"/>
        </w:rPr>
      </w:pPr>
    </w:p>
    <w:p w14:paraId="2A94CBD2" w14:textId="77777777" w:rsidR="00AF7BAC" w:rsidRDefault="00AF7BAC">
      <w:pPr>
        <w:pStyle w:val="BodyText"/>
        <w:rPr>
          <w:rFonts w:ascii="Times New Roman"/>
          <w:sz w:val="20"/>
        </w:rPr>
      </w:pPr>
    </w:p>
    <w:p w14:paraId="295C122E" w14:textId="77777777" w:rsidR="00AF7BAC" w:rsidRDefault="00AF7BAC">
      <w:pPr>
        <w:pStyle w:val="BodyText"/>
        <w:rPr>
          <w:rFonts w:ascii="Times New Roman"/>
          <w:sz w:val="20"/>
        </w:rPr>
      </w:pPr>
    </w:p>
    <w:p w14:paraId="4C322ED9" w14:textId="77777777" w:rsidR="00AF7BAC" w:rsidRDefault="00AF7BAC">
      <w:pPr>
        <w:pStyle w:val="BodyText"/>
        <w:rPr>
          <w:rFonts w:ascii="Times New Roman"/>
          <w:sz w:val="20"/>
        </w:rPr>
      </w:pPr>
    </w:p>
    <w:p w14:paraId="3C3C2741" w14:textId="77777777" w:rsidR="00AF7BAC" w:rsidRDefault="00AF7BAC">
      <w:pPr>
        <w:pStyle w:val="BodyText"/>
        <w:rPr>
          <w:rFonts w:ascii="Times New Roman"/>
          <w:sz w:val="20"/>
        </w:rPr>
      </w:pPr>
    </w:p>
    <w:p w14:paraId="6ABABC15" w14:textId="77777777" w:rsidR="00AF7BAC" w:rsidRDefault="00AF7BAC">
      <w:pPr>
        <w:pStyle w:val="BodyText"/>
        <w:rPr>
          <w:rFonts w:ascii="Times New Roman"/>
          <w:sz w:val="20"/>
        </w:rPr>
      </w:pPr>
    </w:p>
    <w:p w14:paraId="18CE58CF" w14:textId="77777777" w:rsidR="00AF7BAC" w:rsidRDefault="00AF7BAC">
      <w:pPr>
        <w:pStyle w:val="BodyText"/>
        <w:rPr>
          <w:rFonts w:ascii="Times New Roman"/>
          <w:sz w:val="20"/>
        </w:rPr>
      </w:pPr>
    </w:p>
    <w:p w14:paraId="3F31B53F" w14:textId="77777777" w:rsidR="00AF7BAC" w:rsidRDefault="00AF7BAC">
      <w:pPr>
        <w:pStyle w:val="BodyText"/>
        <w:rPr>
          <w:rFonts w:ascii="Times New Roman"/>
          <w:sz w:val="20"/>
        </w:rPr>
      </w:pPr>
    </w:p>
    <w:p w14:paraId="710306A1" w14:textId="77777777" w:rsidR="00AF7BAC" w:rsidRDefault="00AF7BAC">
      <w:pPr>
        <w:pStyle w:val="BodyText"/>
        <w:rPr>
          <w:rFonts w:ascii="Times New Roman"/>
          <w:sz w:val="20"/>
        </w:rPr>
      </w:pPr>
    </w:p>
    <w:p w14:paraId="1C22390A" w14:textId="77777777" w:rsidR="00AF7BAC" w:rsidRDefault="00AF7BAC">
      <w:pPr>
        <w:pStyle w:val="BodyText"/>
        <w:rPr>
          <w:rFonts w:ascii="Times New Roman"/>
          <w:sz w:val="20"/>
        </w:rPr>
      </w:pPr>
    </w:p>
    <w:p w14:paraId="67F2F37F" w14:textId="77777777" w:rsidR="00AF7BAC" w:rsidRDefault="00AF7BAC">
      <w:pPr>
        <w:pStyle w:val="BodyText"/>
        <w:rPr>
          <w:rFonts w:ascii="Times New Roman"/>
          <w:sz w:val="20"/>
        </w:rPr>
      </w:pPr>
    </w:p>
    <w:p w14:paraId="6E74382F" w14:textId="77777777" w:rsidR="00AF7BAC" w:rsidRDefault="00AF7BAC">
      <w:pPr>
        <w:pStyle w:val="BodyText"/>
        <w:rPr>
          <w:rFonts w:ascii="Times New Roman"/>
          <w:sz w:val="20"/>
        </w:rPr>
      </w:pPr>
    </w:p>
    <w:p w14:paraId="7B9C563C" w14:textId="77777777" w:rsidR="00AF7BAC" w:rsidRDefault="00AF7BAC">
      <w:pPr>
        <w:pStyle w:val="BodyText"/>
        <w:rPr>
          <w:rFonts w:ascii="Times New Roman"/>
          <w:sz w:val="20"/>
        </w:rPr>
      </w:pPr>
    </w:p>
    <w:p w14:paraId="37A5430B" w14:textId="77777777" w:rsidR="00AF7BAC" w:rsidRDefault="00AF7BAC">
      <w:pPr>
        <w:pStyle w:val="BodyText"/>
        <w:rPr>
          <w:rFonts w:ascii="Times New Roman"/>
          <w:sz w:val="20"/>
        </w:rPr>
      </w:pPr>
    </w:p>
    <w:p w14:paraId="5A09D197" w14:textId="77777777" w:rsidR="00AF7BAC" w:rsidRDefault="00AF7BAC">
      <w:pPr>
        <w:pStyle w:val="BodyText"/>
        <w:rPr>
          <w:rFonts w:ascii="Times New Roman"/>
          <w:sz w:val="20"/>
        </w:rPr>
      </w:pPr>
    </w:p>
    <w:p w14:paraId="45BA6A78" w14:textId="77777777" w:rsidR="00AF7BAC" w:rsidRDefault="00AF7BAC">
      <w:pPr>
        <w:pStyle w:val="BodyText"/>
        <w:rPr>
          <w:rFonts w:ascii="Times New Roman"/>
          <w:sz w:val="20"/>
        </w:rPr>
      </w:pPr>
    </w:p>
    <w:p w14:paraId="1B93448E" w14:textId="77777777" w:rsidR="00AF7BAC" w:rsidRDefault="00AF7BAC">
      <w:pPr>
        <w:pStyle w:val="BodyText"/>
        <w:rPr>
          <w:rFonts w:ascii="Times New Roman"/>
          <w:sz w:val="20"/>
        </w:rPr>
      </w:pPr>
    </w:p>
    <w:p w14:paraId="7BB9AF95" w14:textId="77777777" w:rsidR="00AF7BAC" w:rsidRDefault="00AF7BAC">
      <w:pPr>
        <w:pStyle w:val="BodyText"/>
        <w:spacing w:before="4"/>
        <w:rPr>
          <w:rFonts w:ascii="Times New Roman"/>
          <w:sz w:val="26"/>
        </w:rPr>
      </w:pPr>
    </w:p>
    <w:p w14:paraId="1D91E995" w14:textId="28DFF734" w:rsidR="00AF7BAC" w:rsidRDefault="00240A22">
      <w:pPr>
        <w:pStyle w:val="Heading1"/>
        <w:spacing w:line="753" w:lineRule="exact"/>
        <w:ind w:right="1179"/>
      </w:pPr>
      <w:r>
        <w:rPr>
          <w:color w:val="4471C4"/>
        </w:rPr>
        <w:t>GUIDE SUR LE PROCESSUS DE</w:t>
      </w:r>
      <w:r w:rsidR="00E54C2F">
        <w:rPr>
          <w:color w:val="4471C4"/>
        </w:rPr>
        <w:br/>
      </w:r>
      <w:r>
        <w:rPr>
          <w:color w:val="4471C4"/>
        </w:rPr>
        <w:t>SOUMISSION D’UNE DEMANDE</w:t>
      </w:r>
      <w:r w:rsidR="00E54C2F">
        <w:rPr>
          <w:color w:val="4471C4"/>
        </w:rPr>
        <w:br/>
      </w:r>
      <w:r>
        <w:rPr>
          <w:color w:val="4471C4"/>
        </w:rPr>
        <w:t>À SANTÉ CANADA</w:t>
      </w:r>
    </w:p>
    <w:p w14:paraId="72DB3833" w14:textId="77777777" w:rsidR="00AF7BAC" w:rsidRDefault="00AF7BAC" w:rsidP="00E54C2F">
      <w:pPr>
        <w:spacing w:before="64"/>
        <w:ind w:right="1177"/>
        <w:rPr>
          <w:sz w:val="64"/>
        </w:rPr>
      </w:pPr>
    </w:p>
    <w:p w14:paraId="5F07F83C" w14:textId="39B35772" w:rsidR="00AF7BAC" w:rsidRDefault="00240A22">
      <w:pPr>
        <w:pStyle w:val="Heading2"/>
        <w:spacing w:before="227"/>
        <w:ind w:right="1183"/>
      </w:pPr>
      <w:r>
        <w:rPr>
          <w:color w:val="404040"/>
        </w:rPr>
        <w:t>Pour les essais cliniques initiés à</w:t>
      </w:r>
      <w:r w:rsidR="00E54C2F">
        <w:rPr>
          <w:color w:val="404040"/>
        </w:rPr>
        <w:br/>
      </w:r>
      <w:r>
        <w:rPr>
          <w:color w:val="404040"/>
        </w:rPr>
        <w:t>l’Institut de recherche en santé mentale du Royal</w:t>
      </w:r>
    </w:p>
    <w:p w14:paraId="4FCB025E" w14:textId="77777777" w:rsidR="00AF7BAC" w:rsidRDefault="00AF7BAC">
      <w:pPr>
        <w:spacing w:before="28"/>
        <w:ind w:right="1177"/>
        <w:jc w:val="right"/>
        <w:rPr>
          <w:sz w:val="36"/>
        </w:rPr>
      </w:pPr>
    </w:p>
    <w:p w14:paraId="3A26B18E" w14:textId="77777777" w:rsidR="00AF7BAC" w:rsidRDefault="00AF7BAC">
      <w:pPr>
        <w:pStyle w:val="BodyText"/>
        <w:rPr>
          <w:sz w:val="20"/>
        </w:rPr>
      </w:pPr>
    </w:p>
    <w:p w14:paraId="503A947A" w14:textId="77777777" w:rsidR="00AF7BAC" w:rsidRDefault="00AF7BAC">
      <w:pPr>
        <w:pStyle w:val="BodyText"/>
        <w:spacing w:before="2"/>
      </w:pPr>
    </w:p>
    <w:p w14:paraId="725EDA2B" w14:textId="77777777" w:rsidR="00AF7BAC" w:rsidRDefault="00240A22" w:rsidP="00003D6A">
      <w:pPr>
        <w:spacing w:before="45"/>
        <w:ind w:right="1065"/>
        <w:jc w:val="right"/>
        <w:rPr>
          <w:sz w:val="28"/>
        </w:rPr>
      </w:pPr>
      <w:r>
        <w:rPr>
          <w:color w:val="4471C4"/>
          <w:sz w:val="28"/>
        </w:rPr>
        <w:t>Résumé</w:t>
      </w:r>
    </w:p>
    <w:p w14:paraId="3BE49942" w14:textId="389E4B66" w:rsidR="00AF7BAC" w:rsidRDefault="00240A22" w:rsidP="00003D6A">
      <w:pPr>
        <w:ind w:left="3422" w:right="1065" w:hanging="192"/>
        <w:jc w:val="right"/>
        <w:rPr>
          <w:sz w:val="20"/>
        </w:rPr>
      </w:pPr>
      <w:r>
        <w:rPr>
          <w:color w:val="585858"/>
          <w:sz w:val="20"/>
        </w:rPr>
        <w:t>Guide détaillé sur le processus de soumission d’une demande d’autorisation à Santé Canada pour la conduite d’essais cliniques utilisant des produits pharmaceutiques, des produits de santé naturels et sans ordonnance, des produits biologiques, des produits radiopharmaceutiques et des dispositifs</w:t>
      </w:r>
      <w:r w:rsidR="006D5D56">
        <w:rPr>
          <w:color w:val="585858"/>
          <w:sz w:val="20"/>
        </w:rPr>
        <w:t>/</w:t>
      </w:r>
      <w:r>
        <w:rPr>
          <w:color w:val="585858"/>
          <w:sz w:val="20"/>
        </w:rPr>
        <w:t>instruments médicaux.</w:t>
      </w:r>
    </w:p>
    <w:p w14:paraId="4BD859B5" w14:textId="77777777" w:rsidR="00AF7BAC" w:rsidRDefault="00AF7BAC">
      <w:pPr>
        <w:spacing w:before="2"/>
        <w:ind w:right="1185"/>
        <w:jc w:val="right"/>
        <w:rPr>
          <w:sz w:val="20"/>
        </w:rPr>
      </w:pPr>
    </w:p>
    <w:p w14:paraId="2546FCDE" w14:textId="4C23DE28" w:rsidR="00AF7BAC" w:rsidRDefault="00AF7BAC">
      <w:pPr>
        <w:pStyle w:val="BodyText"/>
        <w:rPr>
          <w:sz w:val="20"/>
        </w:rPr>
      </w:pPr>
    </w:p>
    <w:p w14:paraId="170E86FD" w14:textId="235D6550" w:rsidR="00003D6A" w:rsidRDefault="00003D6A">
      <w:pPr>
        <w:pStyle w:val="BodyText"/>
        <w:rPr>
          <w:sz w:val="20"/>
        </w:rPr>
      </w:pPr>
    </w:p>
    <w:p w14:paraId="510479E4" w14:textId="77777777" w:rsidR="00003D6A" w:rsidRDefault="00003D6A">
      <w:pPr>
        <w:pStyle w:val="BodyText"/>
        <w:rPr>
          <w:sz w:val="20"/>
        </w:rPr>
      </w:pPr>
    </w:p>
    <w:p w14:paraId="2F5F9C7A" w14:textId="77777777" w:rsidR="00AF7BAC" w:rsidRDefault="00240A22" w:rsidP="00003D6A">
      <w:pPr>
        <w:pStyle w:val="Heading3"/>
        <w:spacing w:before="200"/>
        <w:ind w:left="3262" w:hanging="994"/>
      </w:pPr>
      <w:r>
        <w:rPr>
          <w:color w:val="585858"/>
        </w:rPr>
        <w:t>Préparé par Tammy Beaudoin, gestionnaire de soutien à la recherche clinique</w:t>
      </w:r>
    </w:p>
    <w:p w14:paraId="0202C745" w14:textId="77777777" w:rsidR="00AF7BAC" w:rsidRDefault="00492452">
      <w:pPr>
        <w:ind w:right="1182"/>
        <w:jc w:val="right"/>
        <w:rPr>
          <w:sz w:val="18"/>
        </w:rPr>
      </w:pPr>
      <w:hyperlink r:id="rId6">
        <w:r w:rsidR="00240A22">
          <w:rPr>
            <w:color w:val="585858"/>
            <w:sz w:val="18"/>
          </w:rPr>
          <w:t>Tammy.beaudoin@theroyal.ca</w:t>
        </w:r>
      </w:hyperlink>
    </w:p>
    <w:p w14:paraId="3FA35877" w14:textId="77777777" w:rsidR="00AF7BAC" w:rsidRDefault="00AF7BAC">
      <w:pPr>
        <w:jc w:val="right"/>
        <w:rPr>
          <w:sz w:val="18"/>
        </w:rPr>
        <w:sectPr w:rsidR="00AF7BAC">
          <w:type w:val="continuous"/>
          <w:pgSz w:w="12240" w:h="15840"/>
          <w:pgMar w:top="360" w:right="260" w:bottom="280" w:left="0" w:header="720" w:footer="720" w:gutter="0"/>
          <w:cols w:space="720"/>
        </w:sectPr>
      </w:pPr>
    </w:p>
    <w:p w14:paraId="7885A220" w14:textId="16501396" w:rsidR="00AF7BAC" w:rsidRDefault="00492452">
      <w:pPr>
        <w:pStyle w:val="BodyText"/>
        <w:spacing w:before="9"/>
        <w:rPr>
          <w:sz w:val="25"/>
        </w:rPr>
      </w:pPr>
      <w:r>
        <w:lastRenderedPageBreak/>
        <w:pict w14:anchorId="50D952D8">
          <v:group id="_x0000_s1132" alt="" style="position:absolute;margin-left:-4.65pt;margin-top:-.3pt;width:187.35pt;height:89.05pt;z-index:251669504;mso-position-horizontal-relative:page" coordorigin=",-308" coordsize="3418,15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3" type="#_x0000_t75" alt="" style="position:absolute;top:-309;width:3418;height:1534">
              <v:imagedata r:id="rId7" o:title=""/>
            </v:shape>
            <v:shape id="_x0000_s1134" type="#_x0000_t75" alt="" style="position:absolute;top:-251;width:3089;height:1404">
              <v:imagedata r:id="rId8" o:title=""/>
            </v:shape>
            <v:shape id="_x0000_s1135" type="#_x0000_t75" alt="" style="position:absolute;left:45;top:-261;width:3300;height:1370">
              <v:imagedata r:id="rId9" o:title=""/>
            </v:shape>
            <v:shapetype id="_x0000_t202" coordsize="21600,21600" o:spt="202" path="m,l,21600r21600,l21600,xe">
              <v:stroke joinstyle="miter"/>
              <v:path gradientshapeok="t" o:connecttype="rect"/>
            </v:shapetype>
            <v:shape id="_x0000_s1136" type="#_x0000_t202" alt="" style="position:absolute;top:-309;width:3418;height:1534;mso-wrap-style:square;v-text-anchor:top" filled="f" stroked="f">
              <v:textbox inset="0,0,0,0">
                <w:txbxContent>
                  <w:p w14:paraId="5B3CC1EE" w14:textId="5536AF35" w:rsidR="00AF7BAC" w:rsidRPr="00E54C2F" w:rsidRDefault="00240A22" w:rsidP="003C4B4A">
                    <w:pPr>
                      <w:spacing w:before="183"/>
                      <w:ind w:left="437" w:right="802"/>
                      <w:rPr>
                        <w:sz w:val="32"/>
                        <w:szCs w:val="32"/>
                      </w:rPr>
                    </w:pPr>
                    <w:r w:rsidRPr="00E54C2F">
                      <w:rPr>
                        <w:color w:val="FFFFFF"/>
                        <w:sz w:val="32"/>
                        <w:szCs w:val="32"/>
                      </w:rPr>
                      <w:t>Surveillance réglementaire de Santé Canada</w:t>
                    </w:r>
                  </w:p>
                </w:txbxContent>
              </v:textbox>
            </v:shape>
            <w10:wrap anchorx="page"/>
          </v:group>
        </w:pict>
      </w:r>
    </w:p>
    <w:p w14:paraId="39A98EC0" w14:textId="500CCE38" w:rsidR="00AF7BAC" w:rsidRDefault="00240A22">
      <w:pPr>
        <w:pStyle w:val="BodyText"/>
        <w:spacing w:before="56"/>
        <w:ind w:left="3600"/>
      </w:pPr>
      <w:r>
        <w:t>Santé Canada est l’organisme de réglementation qui supervise l’utilisation des produits suivants :</w:t>
      </w:r>
    </w:p>
    <w:p w14:paraId="38D62F98" w14:textId="6140E13C" w:rsidR="00AF7BAC" w:rsidRDefault="00492452">
      <w:pPr>
        <w:pStyle w:val="BodyText"/>
        <w:spacing w:before="6"/>
        <w:rPr>
          <w:sz w:val="21"/>
        </w:rPr>
      </w:pPr>
      <w:r>
        <w:pict w14:anchorId="15C988D7">
          <v:shape id="_x0000_s1131" type="#_x0000_t202" alt="" style="position:absolute;margin-left:231.3pt;margin-top:15.65pt;width:355.3pt;height:37.5pt;z-index:-251657216;mso-wrap-style:square;mso-wrap-edited:f;mso-width-percent:0;mso-height-percent:0;mso-wrap-distance-left:0;mso-wrap-distance-right:0;mso-position-horizontal-relative:page;mso-width-percent:0;mso-height-percent:0;v-text-anchor:top" filled="f" strokeweight=".5pt">
            <v:textbox inset="0,0,0,0">
              <w:txbxContent>
                <w:p w14:paraId="2CD40963" w14:textId="77777777" w:rsidR="00AF7BAC" w:rsidRDefault="00240A22">
                  <w:pPr>
                    <w:spacing w:before="147"/>
                    <w:ind w:left="145"/>
                    <w:rPr>
                      <w:b/>
                    </w:rPr>
                  </w:pPr>
                  <w:r>
                    <w:rPr>
                      <w:b/>
                    </w:rPr>
                    <w:t>Produits thérapeutiques (médicaments pharmaceutiques)</w:t>
                  </w:r>
                </w:p>
              </w:txbxContent>
            </v:textbox>
            <w10:wrap type="topAndBottom" anchorx="page"/>
          </v:shape>
        </w:pict>
      </w:r>
      <w:r>
        <w:pict w14:anchorId="49C53099">
          <v:group id="_x0000_s1127" alt="" style="position:absolute;margin-left:182.75pt;margin-top:15.2pt;width:46.25pt;height:38pt;z-index:-251658240;mso-wrap-distance-left:0;mso-wrap-distance-right:0;mso-position-horizontal-relative:page" coordorigin="3655,304" coordsize="925,760">
            <v:rect id="_x0000_s1128" alt="" style="position:absolute;left:3660;top:309;width:915;height:750" fillcolor="#b4c6e7" stroked="f"/>
            <v:rect id="_x0000_s1129" alt="" style="position:absolute;left:3660;top:309;width:915;height:750" filled="f" strokeweight=".5pt"/>
            <v:shape id="_x0000_s1130" type="#_x0000_t75" alt="" style="position:absolute;left:3809;top:386;width:617;height:597">
              <v:imagedata r:id="rId10" o:title=""/>
            </v:shape>
            <w10:wrap type="topAndBottom" anchorx="page"/>
          </v:group>
        </w:pict>
      </w:r>
    </w:p>
    <w:p w14:paraId="0BECBDE0" w14:textId="77777777" w:rsidR="00AF7BAC" w:rsidRDefault="00AF7BAC">
      <w:pPr>
        <w:pStyle w:val="BodyText"/>
        <w:spacing w:before="2"/>
        <w:rPr>
          <w:sz w:val="6"/>
        </w:rPr>
      </w:pPr>
    </w:p>
    <w:p w14:paraId="143D042F" w14:textId="77777777" w:rsidR="00AF7BAC" w:rsidRDefault="00492452">
      <w:pPr>
        <w:ind w:left="3655"/>
        <w:rPr>
          <w:sz w:val="20"/>
        </w:rPr>
      </w:pPr>
      <w:r>
        <w:rPr>
          <w:sz w:val="20"/>
        </w:rPr>
      </w:r>
      <w:r>
        <w:rPr>
          <w:sz w:val="20"/>
        </w:rPr>
        <w:pict w14:anchorId="062D5C70">
          <v:group id="_x0000_s1123" alt="" style="width:46.25pt;height:38pt;mso-position-horizontal-relative:char;mso-position-vertical-relative:line" coordsize="925,760">
            <v:rect id="_x0000_s1124" alt="" style="position:absolute;left:5;top:5;width:915;height:750" fillcolor="#c5dfb4" stroked="f"/>
            <v:rect id="_x0000_s1125" alt="" style="position:absolute;left:5;top:5;width:915;height:750" filled="f" strokeweight=".5pt"/>
            <v:shape id="_x0000_s1126" type="#_x0000_t75" alt="" style="position:absolute;left:154;top:83;width:617;height:596">
              <v:imagedata r:id="rId11" o:title=""/>
            </v:shape>
            <w10:anchorlock/>
          </v:group>
        </w:pict>
      </w:r>
      <w:r w:rsidR="00240A22">
        <w:rPr>
          <w:rFonts w:ascii="Times New Roman"/>
          <w:sz w:val="20"/>
        </w:rPr>
        <w:t xml:space="preserve"> </w:t>
      </w:r>
      <w:r>
        <w:pict w14:anchorId="4EA67158">
          <v:shape id="_x0000_s1122" type="#_x0000_t202" alt="" style="width:355.3pt;height:37.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weight=".5pt">
            <v:textbox inset="0,0,0,0">
              <w:txbxContent>
                <w:p w14:paraId="00608209" w14:textId="77777777" w:rsidR="00AF7BAC" w:rsidRDefault="00240A22">
                  <w:pPr>
                    <w:spacing w:before="72"/>
                    <w:ind w:left="145"/>
                    <w:rPr>
                      <w:b/>
                    </w:rPr>
                  </w:pPr>
                  <w:r>
                    <w:rPr>
                      <w:b/>
                    </w:rPr>
                    <w:t>Produits de santé naturels et médicaments sans ordonnance –</w:t>
                  </w:r>
                </w:p>
                <w:p w14:paraId="11693F1B" w14:textId="77777777" w:rsidR="00AF7BAC" w:rsidRDefault="00240A22">
                  <w:pPr>
                    <w:pStyle w:val="BodyText"/>
                    <w:spacing w:before="20"/>
                    <w:ind w:left="145"/>
                  </w:pPr>
                  <w:r>
                    <w:t>Suppléments, vitamines, plantes médicinales, minéraux</w:t>
                  </w:r>
                </w:p>
              </w:txbxContent>
            </v:textbox>
            <w10:anchorlock/>
          </v:shape>
        </w:pict>
      </w:r>
    </w:p>
    <w:p w14:paraId="03D62F55" w14:textId="77777777" w:rsidR="00AF7BAC" w:rsidRDefault="00AF7BAC">
      <w:pPr>
        <w:pStyle w:val="BodyText"/>
        <w:spacing w:before="8"/>
        <w:rPr>
          <w:sz w:val="4"/>
        </w:rPr>
      </w:pPr>
    </w:p>
    <w:p w14:paraId="4AE28275" w14:textId="77777777" w:rsidR="00AF7BAC" w:rsidRDefault="00492452">
      <w:pPr>
        <w:ind w:left="3655"/>
        <w:rPr>
          <w:sz w:val="20"/>
        </w:rPr>
      </w:pPr>
      <w:r>
        <w:rPr>
          <w:sz w:val="20"/>
        </w:rPr>
      </w:r>
      <w:r>
        <w:rPr>
          <w:sz w:val="20"/>
        </w:rPr>
        <w:pict w14:anchorId="43CD80F4">
          <v:group id="_x0000_s1118" alt="" style="width:46.25pt;height:39.5pt;mso-position-horizontal-relative:char;mso-position-vertical-relative:line" coordsize="925,790">
            <v:rect id="_x0000_s1119" alt="" style="position:absolute;left:5;top:5;width:915;height:780" fillcolor="#d0cece" stroked="f"/>
            <v:rect id="_x0000_s1120" alt="" style="position:absolute;left:5;top:5;width:915;height:780" filled="f" strokeweight=".5pt"/>
            <v:shape id="_x0000_s1121" type="#_x0000_t75" alt="" style="position:absolute;left:154;top:82;width:617;height:616">
              <v:imagedata r:id="rId12" o:title=""/>
            </v:shape>
            <w10:anchorlock/>
          </v:group>
        </w:pict>
      </w:r>
      <w:r w:rsidR="00240A22">
        <w:rPr>
          <w:rFonts w:ascii="Times New Roman"/>
          <w:sz w:val="20"/>
        </w:rPr>
        <w:t xml:space="preserve"> </w:t>
      </w:r>
      <w:r>
        <w:pict w14:anchorId="4837A4DE">
          <v:shape id="_x0000_s1117" type="#_x0000_t202" alt="" style="width:355.3pt;height:37.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weight=".5pt">
            <v:textbox inset="0,0,0,0">
              <w:txbxContent>
                <w:p w14:paraId="4E2AF95C" w14:textId="77777777" w:rsidR="00AF7BAC" w:rsidRDefault="00240A22">
                  <w:pPr>
                    <w:spacing w:before="71" w:line="256" w:lineRule="auto"/>
                    <w:ind w:left="145" w:right="857"/>
                  </w:pPr>
                  <w:r>
                    <w:rPr>
                      <w:b/>
                      <w:bCs/>
                    </w:rPr>
                    <w:t>Produits radiopharmaceutiq</w:t>
                  </w:r>
                  <w:r>
                    <w:rPr>
                      <w:b/>
                    </w:rPr>
                    <w:t xml:space="preserve">ues – </w:t>
                  </w:r>
                  <w:r>
                    <w:t>Sondes d’imagerie moléculaire, agents de contraste ou traceurs (p. ex. : fluor, gallium)</w:t>
                  </w:r>
                </w:p>
              </w:txbxContent>
            </v:textbox>
            <w10:anchorlock/>
          </v:shape>
        </w:pict>
      </w:r>
    </w:p>
    <w:p w14:paraId="6EB38D48" w14:textId="77777777" w:rsidR="00AF7BAC" w:rsidRDefault="00AF7BAC">
      <w:pPr>
        <w:pStyle w:val="BodyText"/>
        <w:rPr>
          <w:sz w:val="4"/>
        </w:rPr>
      </w:pPr>
    </w:p>
    <w:p w14:paraId="793FE7A2" w14:textId="77777777" w:rsidR="00AF7BAC" w:rsidRDefault="00492452">
      <w:pPr>
        <w:ind w:left="3655"/>
        <w:rPr>
          <w:sz w:val="20"/>
        </w:rPr>
      </w:pPr>
      <w:r>
        <w:rPr>
          <w:sz w:val="20"/>
        </w:rPr>
      </w:r>
      <w:r>
        <w:rPr>
          <w:sz w:val="20"/>
        </w:rPr>
        <w:pict w14:anchorId="79F2563B">
          <v:group id="_x0000_s1113" alt="" style="width:46.25pt;height:39.5pt;mso-position-horizontal-relative:char;mso-position-vertical-relative:line" coordsize="925,790">
            <v:rect id="_x0000_s1114" alt="" style="position:absolute;left:5;top:5;width:915;height:780" fillcolor="red" stroked="f"/>
            <v:rect id="_x0000_s1115" alt="" style="position:absolute;left:5;top:5;width:915;height:780" filled="f" strokeweight=".5pt"/>
            <v:shape id="_x0000_s1116" type="#_x0000_t75" alt="" style="position:absolute;left:154;top:82;width:617;height:617">
              <v:imagedata r:id="rId13" o:title=""/>
            </v:shape>
            <w10:anchorlock/>
          </v:group>
        </w:pict>
      </w:r>
      <w:r w:rsidR="00240A22">
        <w:rPr>
          <w:rFonts w:ascii="Times New Roman"/>
          <w:sz w:val="20"/>
        </w:rPr>
        <w:t xml:space="preserve"> </w:t>
      </w:r>
      <w:r>
        <w:pict w14:anchorId="010CF3A0">
          <v:shape id="_x0000_s1112" type="#_x0000_t202" alt="" style="width:355.3pt;height:37.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weight=".5pt">
            <v:textbox inset="0,0,0,0">
              <w:txbxContent>
                <w:p w14:paraId="4745EA8C" w14:textId="77777777" w:rsidR="00AF7BAC" w:rsidRDefault="00240A22">
                  <w:pPr>
                    <w:spacing w:before="71" w:line="256" w:lineRule="auto"/>
                    <w:ind w:left="145" w:right="428"/>
                  </w:pPr>
                  <w:r>
                    <w:rPr>
                      <w:b/>
                      <w:bCs/>
                    </w:rPr>
                    <w:t xml:space="preserve">Produits biologiques et thérapies génétiques – </w:t>
                  </w:r>
                  <w:r>
                    <w:t>Vaccins, thérapies géniques, sang et produits sanguins (p. ex. : immunoglobuline)</w:t>
                  </w:r>
                </w:p>
              </w:txbxContent>
            </v:textbox>
            <w10:anchorlock/>
          </v:shape>
        </w:pict>
      </w:r>
    </w:p>
    <w:p w14:paraId="23A62205" w14:textId="77777777" w:rsidR="00AF7BAC" w:rsidRDefault="00AF7BAC">
      <w:pPr>
        <w:pStyle w:val="BodyText"/>
        <w:rPr>
          <w:sz w:val="6"/>
        </w:rPr>
      </w:pPr>
    </w:p>
    <w:p w14:paraId="3773F082" w14:textId="77777777" w:rsidR="00AF7BAC" w:rsidRDefault="00492452">
      <w:pPr>
        <w:ind w:left="3655"/>
        <w:rPr>
          <w:sz w:val="20"/>
        </w:rPr>
      </w:pPr>
      <w:r>
        <w:rPr>
          <w:sz w:val="20"/>
        </w:rPr>
      </w:r>
      <w:r>
        <w:rPr>
          <w:sz w:val="20"/>
        </w:rPr>
        <w:pict w14:anchorId="15D3CADC">
          <v:group id="_x0000_s1108" alt="" style="width:46.25pt;height:38pt;mso-position-horizontal-relative:char;mso-position-vertical-relative:line" coordsize="925,760">
            <v:rect id="_x0000_s1109" alt="" style="position:absolute;left:5;top:5;width:915;height:750" fillcolor="#fff1cc" stroked="f"/>
            <v:rect id="_x0000_s1110" alt="" style="position:absolute;left:5;top:5;width:915;height:750" filled="f" strokeweight=".5pt"/>
            <v:shape id="_x0000_s1111" type="#_x0000_t75" alt="" style="position:absolute;left:154;top:83;width:617;height:596">
              <v:imagedata r:id="rId14" o:title=""/>
            </v:shape>
            <w10:anchorlock/>
          </v:group>
        </w:pict>
      </w:r>
      <w:r w:rsidR="00240A22">
        <w:rPr>
          <w:rFonts w:ascii="Times New Roman"/>
          <w:sz w:val="20"/>
        </w:rPr>
        <w:t xml:space="preserve"> </w:t>
      </w:r>
      <w:r>
        <w:pict w14:anchorId="76E59AB5">
          <v:shape id="_x0000_s1107" type="#_x0000_t202" alt="" style="width:355.3pt;height:36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weight=".5pt">
            <v:textbox inset="0,0,0,0">
              <w:txbxContent>
                <w:p w14:paraId="26177C9F" w14:textId="662A3D9A" w:rsidR="00AF7BAC" w:rsidRDefault="00240A22">
                  <w:pPr>
                    <w:spacing w:before="72" w:line="256" w:lineRule="auto"/>
                    <w:ind w:left="145" w:right="1071"/>
                  </w:pPr>
                  <w:r>
                    <w:rPr>
                      <w:b/>
                      <w:bCs/>
                    </w:rPr>
                    <w:t>Instruments médicaux (cla</w:t>
                  </w:r>
                  <w:r>
                    <w:rPr>
                      <w:b/>
                    </w:rPr>
                    <w:t xml:space="preserve">sse II, III ou IV) – </w:t>
                  </w:r>
                  <w:r>
                    <w:t>Stimulateurs cardiaques, prothèses orthopédiques, appareils muni</w:t>
                  </w:r>
                  <w:r w:rsidR="007957D2">
                    <w:t>s</w:t>
                  </w:r>
                  <w:r>
                    <w:t xml:space="preserve"> de logiciels</w:t>
                  </w:r>
                </w:p>
              </w:txbxContent>
            </v:textbox>
            <w10:anchorlock/>
          </v:shape>
        </w:pict>
      </w:r>
    </w:p>
    <w:p w14:paraId="75DE8B22" w14:textId="77777777" w:rsidR="00AF7BAC" w:rsidRDefault="00AF7BAC">
      <w:pPr>
        <w:pStyle w:val="BodyText"/>
      </w:pPr>
    </w:p>
    <w:p w14:paraId="758C845F" w14:textId="77777777" w:rsidR="00AF7BAC" w:rsidRDefault="00AF7BAC">
      <w:pPr>
        <w:pStyle w:val="BodyText"/>
        <w:spacing w:before="10"/>
        <w:rPr>
          <w:sz w:val="21"/>
        </w:rPr>
      </w:pPr>
    </w:p>
    <w:p w14:paraId="2ABF1571" w14:textId="2BBF492B" w:rsidR="00AF7BAC" w:rsidRDefault="00240A22">
      <w:pPr>
        <w:pStyle w:val="Heading5"/>
        <w:spacing w:before="0" w:line="256" w:lineRule="auto"/>
        <w:ind w:right="1302"/>
      </w:pPr>
      <w:r>
        <w:rPr>
          <w:color w:val="006FC0"/>
        </w:rPr>
        <w:t>Il est nécessaire de soumettre une demande d’essai clinique (DEC) à Santé Canada lorsqu’un médicament (produits pharmaceutiques, biologiques et radiopharmaceutiques) ou un produit de santé naturel</w:t>
      </w:r>
      <w:r w:rsidR="006D5D56">
        <w:rPr>
          <w:color w:val="006FC0"/>
        </w:rPr>
        <w:t> </w:t>
      </w:r>
      <w:r>
        <w:rPr>
          <w:color w:val="006FC0"/>
        </w:rPr>
        <w:t>:</w:t>
      </w:r>
    </w:p>
    <w:p w14:paraId="7FA65D4C" w14:textId="77777777" w:rsidR="00AF7BAC" w:rsidRDefault="00240A22">
      <w:pPr>
        <w:pStyle w:val="ListParagraph"/>
        <w:numPr>
          <w:ilvl w:val="0"/>
          <w:numId w:val="2"/>
        </w:numPr>
        <w:tabs>
          <w:tab w:val="left" w:pos="1440"/>
          <w:tab w:val="left" w:pos="1441"/>
        </w:tabs>
        <w:spacing w:before="167"/>
        <w:ind w:left="1440"/>
      </w:pPr>
      <w:r>
        <w:t>n’a pas été approuvé par Santé Canada ou est en phase de développement (phase I à III);</w:t>
      </w:r>
    </w:p>
    <w:p w14:paraId="2C56373A" w14:textId="77777777" w:rsidR="00AF7BAC" w:rsidRDefault="00240A22">
      <w:pPr>
        <w:pStyle w:val="ListParagraph"/>
        <w:numPr>
          <w:ilvl w:val="0"/>
          <w:numId w:val="2"/>
        </w:numPr>
        <w:tabs>
          <w:tab w:val="left" w:pos="1440"/>
          <w:tab w:val="left" w:pos="1441"/>
        </w:tabs>
        <w:spacing w:before="20"/>
        <w:ind w:left="1440"/>
      </w:pPr>
      <w:r>
        <w:t>est approuvé mais fera l’objet d’une nouvelle indication ou d’une nouvelle utilisation clinique;</w:t>
      </w:r>
    </w:p>
    <w:p w14:paraId="02918769" w14:textId="77777777" w:rsidR="00AF7BAC" w:rsidRDefault="00240A22">
      <w:pPr>
        <w:pStyle w:val="ListParagraph"/>
        <w:numPr>
          <w:ilvl w:val="0"/>
          <w:numId w:val="2"/>
        </w:numPr>
        <w:tabs>
          <w:tab w:val="left" w:pos="1440"/>
          <w:tab w:val="left" w:pos="1441"/>
        </w:tabs>
        <w:spacing w:before="22"/>
        <w:ind w:left="1440"/>
      </w:pPr>
      <w:r>
        <w:t>est approuvé mais sera utilisé pour une population cible différente;</w:t>
      </w:r>
    </w:p>
    <w:p w14:paraId="24048ABB" w14:textId="77777777" w:rsidR="00AF7BAC" w:rsidRDefault="00240A22">
      <w:pPr>
        <w:pStyle w:val="ListParagraph"/>
        <w:numPr>
          <w:ilvl w:val="0"/>
          <w:numId w:val="2"/>
        </w:numPr>
        <w:tabs>
          <w:tab w:val="left" w:pos="1440"/>
          <w:tab w:val="left" w:pos="1441"/>
        </w:tabs>
        <w:spacing w:before="20"/>
        <w:ind w:left="1440"/>
      </w:pPr>
      <w:r>
        <w:t>est approuvé mais sera administré par une autre voie d’administration;</w:t>
      </w:r>
    </w:p>
    <w:p w14:paraId="5D4AFBA1" w14:textId="552FF868" w:rsidR="00AF7BAC" w:rsidRDefault="00240A22" w:rsidP="00C81234">
      <w:pPr>
        <w:pStyle w:val="ListParagraph"/>
        <w:numPr>
          <w:ilvl w:val="0"/>
          <w:numId w:val="2"/>
        </w:numPr>
        <w:tabs>
          <w:tab w:val="left" w:pos="1440"/>
          <w:tab w:val="left" w:pos="1441"/>
        </w:tabs>
        <w:spacing w:before="20" w:line="393" w:lineRule="auto"/>
        <w:ind w:right="1915" w:firstLine="360"/>
      </w:pPr>
      <w:r>
        <w:t>sera administré selon une posologie ne correspondant pas à celle</w:t>
      </w:r>
      <w:r w:rsidR="00C81234">
        <w:t xml:space="preserve"> </w:t>
      </w:r>
      <w:r>
        <w:t>approuvée sur le marché.</w:t>
      </w:r>
    </w:p>
    <w:p w14:paraId="2A6F43FE" w14:textId="77777777" w:rsidR="000D02DF" w:rsidRDefault="00240A22" w:rsidP="000D02DF">
      <w:pPr>
        <w:tabs>
          <w:tab w:val="left" w:pos="1440"/>
          <w:tab w:val="left" w:pos="1441"/>
        </w:tabs>
        <w:spacing w:before="21" w:line="256" w:lineRule="auto"/>
        <w:ind w:left="851" w:right="789"/>
      </w:pPr>
      <w:r>
        <w:t>Remarque :</w:t>
      </w:r>
    </w:p>
    <w:p w14:paraId="20A43C36" w14:textId="02B9BC09" w:rsidR="00AF7BAC" w:rsidRDefault="00240A22" w:rsidP="000D02DF">
      <w:pPr>
        <w:tabs>
          <w:tab w:val="left" w:pos="1440"/>
          <w:tab w:val="left" w:pos="1441"/>
        </w:tabs>
        <w:spacing w:before="21" w:line="256" w:lineRule="auto"/>
        <w:ind w:left="851" w:right="789"/>
      </w:pPr>
      <w:r>
        <w:t>Les études d’observation et les études de phase IV ne sont pas soumises au processus de DEC de Santé Canada. Les études de phase IV sont des essais portant sur des médicaments commercialisés qui feront l’objet de recherches menées dans le cadre des paramètres de l’autorisation de mise en marché (avis de conformité/numéro d’identification de médicament).</w:t>
      </w:r>
    </w:p>
    <w:p w14:paraId="57A6AC99" w14:textId="77777777" w:rsidR="00AF7BAC" w:rsidRDefault="00240A22">
      <w:pPr>
        <w:pStyle w:val="Heading5"/>
      </w:pPr>
      <w:r>
        <w:rPr>
          <w:color w:val="006FC0"/>
        </w:rPr>
        <w:t>Une demande d’autorisation d’essai expérimental (AEE) de Santé Canada est requise pour :</w:t>
      </w:r>
    </w:p>
    <w:p w14:paraId="30384046" w14:textId="77777777" w:rsidR="00AF7BAC" w:rsidRDefault="00240A22">
      <w:pPr>
        <w:pStyle w:val="ListParagraph"/>
        <w:numPr>
          <w:ilvl w:val="0"/>
          <w:numId w:val="2"/>
        </w:numPr>
        <w:tabs>
          <w:tab w:val="left" w:pos="1440"/>
          <w:tab w:val="left" w:pos="1441"/>
        </w:tabs>
        <w:spacing w:before="183"/>
        <w:ind w:left="1440"/>
      </w:pPr>
      <w:r>
        <w:t>Les instruments médicaux de classe II, III et IV.</w:t>
      </w:r>
    </w:p>
    <w:p w14:paraId="79069D56" w14:textId="77777777" w:rsidR="00AF7BAC" w:rsidRDefault="00AF7BAC">
      <w:pPr>
        <w:pStyle w:val="BodyText"/>
        <w:spacing w:before="10"/>
        <w:rPr>
          <w:sz w:val="20"/>
        </w:rPr>
      </w:pPr>
    </w:p>
    <w:p w14:paraId="5371C444" w14:textId="7B16C120" w:rsidR="00AF7BAC" w:rsidRDefault="00240A22" w:rsidP="000D02DF">
      <w:pPr>
        <w:pStyle w:val="BodyText"/>
        <w:spacing w:before="56"/>
        <w:ind w:left="720"/>
      </w:pPr>
      <w:r>
        <w:t>Remarque :</w:t>
      </w:r>
      <w:r w:rsidR="000D02DF">
        <w:br/>
      </w:r>
      <w:r>
        <w:t>Les instruments médicaux de classe I ne sont pas soumis à l’obligation de présenter une demande d’AEE à Santé Canada.</w:t>
      </w:r>
    </w:p>
    <w:p w14:paraId="1FDD1FD0" w14:textId="77777777" w:rsidR="00AF7BAC" w:rsidRDefault="00AF7BAC">
      <w:pPr>
        <w:pStyle w:val="BodyText"/>
        <w:spacing w:before="4"/>
        <w:rPr>
          <w:sz w:val="27"/>
        </w:rPr>
      </w:pPr>
    </w:p>
    <w:p w14:paraId="011A2783" w14:textId="08424BB6" w:rsidR="00AF7BAC" w:rsidRDefault="00240A22">
      <w:pPr>
        <w:pStyle w:val="BodyText"/>
        <w:spacing w:before="56" w:line="256" w:lineRule="auto"/>
        <w:ind w:left="720" w:right="667"/>
      </w:pPr>
      <w:r>
        <w:t xml:space="preserve">Pour obtenir de plus amples renseignements sur les autorisations d’essais expérimentaux (AEE) pour les </w:t>
      </w:r>
      <w:r w:rsidR="006D5D56">
        <w:t>dispositifs</w:t>
      </w:r>
      <w:r w:rsidR="00A62B68">
        <w:t xml:space="preserve"> ou </w:t>
      </w:r>
      <w:r>
        <w:t xml:space="preserve">instruments médicaux, veuillez consulter la procédure opérationnelle standard </w:t>
      </w:r>
      <w:hyperlink r:id="rId15">
        <w:r w:rsidRPr="006D5D56">
          <w:rPr>
            <w:color w:val="0462C1"/>
            <w:u w:val="single"/>
          </w:rPr>
          <w:t xml:space="preserve">N2 SOP 024 ITA for </w:t>
        </w:r>
        <w:proofErr w:type="spellStart"/>
        <w:r w:rsidRPr="006D5D56">
          <w:rPr>
            <w:color w:val="0462C1"/>
            <w:u w:val="single"/>
          </w:rPr>
          <w:t>Medical</w:t>
        </w:r>
        <w:proofErr w:type="spellEnd"/>
        <w:r w:rsidR="006D5D56">
          <w:rPr>
            <w:color w:val="0462C1"/>
            <w:u w:val="single"/>
          </w:rPr>
          <w:t xml:space="preserve"> </w:t>
        </w:r>
        <w:proofErr w:type="spellStart"/>
        <w:r w:rsidR="006D5D56">
          <w:rPr>
            <w:color w:val="0462C1"/>
            <w:u w:val="single"/>
          </w:rPr>
          <w:t>Devices</w:t>
        </w:r>
        <w:proofErr w:type="spellEnd"/>
      </w:hyperlink>
      <w:r>
        <w:t>.</w:t>
      </w:r>
    </w:p>
    <w:p w14:paraId="4FA595B6" w14:textId="77777777" w:rsidR="00AF7BAC" w:rsidRDefault="00AF7BAC">
      <w:pPr>
        <w:spacing w:line="256" w:lineRule="auto"/>
      </w:pPr>
    </w:p>
    <w:p w14:paraId="636A81DD" w14:textId="041FB669" w:rsidR="006D5D56" w:rsidRDefault="006D5D56">
      <w:pPr>
        <w:spacing w:line="256" w:lineRule="auto"/>
        <w:sectPr w:rsidR="006D5D56">
          <w:pgSz w:w="12240" w:h="15840"/>
          <w:pgMar w:top="980" w:right="260" w:bottom="280" w:left="0" w:header="720" w:footer="720" w:gutter="0"/>
          <w:cols w:space="720"/>
        </w:sectPr>
      </w:pPr>
    </w:p>
    <w:p w14:paraId="0804DAC0" w14:textId="76404232" w:rsidR="00AF7BAC" w:rsidRDefault="00492452">
      <w:pPr>
        <w:pStyle w:val="BodyText"/>
        <w:spacing w:before="1"/>
        <w:rPr>
          <w:sz w:val="26"/>
        </w:rPr>
      </w:pPr>
      <w:r>
        <w:lastRenderedPageBreak/>
        <w:pict w14:anchorId="2F2043B8">
          <v:group id="_x0000_s1102" alt="" style="position:absolute;margin-left:-10pt;margin-top:-.65pt;width:181.2pt;height:76.7pt;z-index:251671552;mso-position-horizontal-relative:page" coordorigin=",-328" coordsize="3423,1534">
            <v:shape id="_x0000_s1103" type="#_x0000_t75" alt="" style="position:absolute;top:-329;width:3423;height:1534">
              <v:imagedata r:id="rId7" o:title=""/>
            </v:shape>
            <v:shape id="_x0000_s1104" type="#_x0000_t75" alt="" style="position:absolute;top:-271;width:3094;height:1404">
              <v:imagedata r:id="rId16" o:title=""/>
            </v:shape>
            <v:shape id="_x0000_s1105" type="#_x0000_t75" alt="" style="position:absolute;left:50;top:-281;width:3300;height:1370">
              <v:imagedata r:id="rId17" o:title=""/>
            </v:shape>
            <v:shape id="_x0000_s1106" type="#_x0000_t202" alt="" style="position:absolute;top:-329;width:3423;height:1534;mso-wrap-style:square;v-text-anchor:top" filled="f" stroked="f">
              <v:textbox inset="0,0,0,0">
                <w:txbxContent>
                  <w:p w14:paraId="2BC7FEA1" w14:textId="77777777" w:rsidR="00AF7BAC" w:rsidRDefault="00AF7BAC">
                    <w:pPr>
                      <w:rPr>
                        <w:sz w:val="34"/>
                      </w:rPr>
                    </w:pPr>
                  </w:p>
                  <w:p w14:paraId="32802641" w14:textId="77777777" w:rsidR="00AF7BAC" w:rsidRDefault="00240A22" w:rsidP="00911A42">
                    <w:pPr>
                      <w:ind w:left="912" w:hanging="345"/>
                      <w:rPr>
                        <w:sz w:val="36"/>
                      </w:rPr>
                    </w:pPr>
                    <w:r>
                      <w:rPr>
                        <w:color w:val="FFFFFF"/>
                        <w:sz w:val="36"/>
                      </w:rPr>
                      <w:t>Protocole</w:t>
                    </w:r>
                  </w:p>
                </w:txbxContent>
              </v:textbox>
            </v:shape>
            <w10:wrap anchorx="page"/>
          </v:group>
        </w:pict>
      </w:r>
    </w:p>
    <w:p w14:paraId="26315503" w14:textId="26C88919" w:rsidR="00AF7BAC" w:rsidRDefault="00240A22" w:rsidP="00EA1179">
      <w:pPr>
        <w:pStyle w:val="ListParagraph"/>
        <w:numPr>
          <w:ilvl w:val="1"/>
          <w:numId w:val="2"/>
        </w:numPr>
        <w:tabs>
          <w:tab w:val="left" w:pos="3915"/>
        </w:tabs>
        <w:spacing w:before="101" w:line="259" w:lineRule="auto"/>
        <w:ind w:right="214"/>
        <w:jc w:val="both"/>
      </w:pPr>
      <w:r>
        <w:t>Les protocoles soumis à Santé Canada pour examen/autorisation doivent être formatés conformément aux directives de l’article 6 des Bonnes pratiques cliniques (BPC) de la Conférence internationale sur l’harmonisation (CIH) afin de répondre aux exigences de Santé Canada.</w:t>
      </w:r>
    </w:p>
    <w:p w14:paraId="4D972DB4" w14:textId="77777777" w:rsidR="00AF7BAC" w:rsidRDefault="00240A22">
      <w:pPr>
        <w:spacing w:before="179"/>
        <w:ind w:left="3554"/>
        <w:rPr>
          <w:b/>
        </w:rPr>
      </w:pPr>
      <w:r>
        <w:rPr>
          <w:b/>
        </w:rPr>
        <w:t>Liens/ressources utiles :</w:t>
      </w:r>
    </w:p>
    <w:p w14:paraId="3BC13585" w14:textId="7010B30F" w:rsidR="00AF7BAC" w:rsidRDefault="00492452">
      <w:pPr>
        <w:pStyle w:val="ListParagraph"/>
        <w:numPr>
          <w:ilvl w:val="2"/>
          <w:numId w:val="2"/>
        </w:numPr>
        <w:tabs>
          <w:tab w:val="left" w:pos="4275"/>
          <w:tab w:val="left" w:pos="4276"/>
        </w:tabs>
        <w:spacing w:before="183"/>
        <w:ind w:hanging="362"/>
      </w:pPr>
      <w:hyperlink r:id="rId18">
        <w:r w:rsidR="00240A22">
          <w:rPr>
            <w:color w:val="0462C1"/>
            <w:u w:val="single" w:color="0462C1"/>
          </w:rPr>
          <w:t>Ligne directrice des Bonnes pratiques cliniques (BPC) de la CIH</w:t>
        </w:r>
      </w:hyperlink>
    </w:p>
    <w:p w14:paraId="3D1909F9" w14:textId="61192767" w:rsidR="00AF7BAC" w:rsidRPr="00EA1179" w:rsidRDefault="00492452" w:rsidP="00EA1179">
      <w:pPr>
        <w:pStyle w:val="ListParagraph"/>
        <w:numPr>
          <w:ilvl w:val="2"/>
          <w:numId w:val="2"/>
        </w:numPr>
        <w:tabs>
          <w:tab w:val="left" w:pos="4275"/>
          <w:tab w:val="left" w:pos="4276"/>
        </w:tabs>
        <w:spacing w:before="20"/>
        <w:ind w:hanging="362"/>
      </w:pPr>
      <w:hyperlink r:id="rId19">
        <w:r w:rsidR="00240A22">
          <w:rPr>
            <w:color w:val="0462C1"/>
            <w:u w:val="single" w:color="0462C1"/>
          </w:rPr>
          <w:t>Liste de contrôle SPIRIT</w:t>
        </w:r>
      </w:hyperlink>
    </w:p>
    <w:p w14:paraId="04A05992" w14:textId="247879ED" w:rsidR="00AF7BAC" w:rsidRDefault="00492452">
      <w:pPr>
        <w:pStyle w:val="BodyText"/>
        <w:rPr>
          <w:sz w:val="20"/>
        </w:rPr>
      </w:pPr>
      <w:r>
        <w:pict w14:anchorId="46599161">
          <v:group id="_x0000_s1097" alt="" style="position:absolute;margin-left:0;margin-top:1.95pt;width:171.15pt;height:86pt;z-index:251673600;mso-position-horizontal-relative:page" coordorigin=",-641" coordsize="3253,1501">
            <v:shape id="_x0000_s1098" type="#_x0000_t75" alt="" style="position:absolute;top:-641;width:3253;height:1501">
              <v:imagedata r:id="rId20" o:title=""/>
            </v:shape>
            <v:shape id="_x0000_s1099" type="#_x0000_t75" alt="" style="position:absolute;top:-584;width:2931;height:1385">
              <v:imagedata r:id="rId21" o:title=""/>
            </v:shape>
            <v:shape id="_x0000_s1100" type="#_x0000_t75" alt="" style="position:absolute;top:-593;width:3180;height:1350">
              <v:imagedata r:id="rId22" o:title=""/>
            </v:shape>
            <v:shape id="_x0000_s1101" type="#_x0000_t202" alt="" style="position:absolute;top:-641;width:3253;height:1501;mso-wrap-style:square;v-text-anchor:top" filled="f" stroked="f">
              <v:textbox inset="0,0,0,0">
                <w:txbxContent>
                  <w:p w14:paraId="66F920E0" w14:textId="11F36C38" w:rsidR="00AF7BAC" w:rsidRPr="00911A42" w:rsidRDefault="00240A22" w:rsidP="00911A42">
                    <w:pPr>
                      <w:spacing w:before="171" w:line="259" w:lineRule="auto"/>
                      <w:ind w:left="284" w:right="1103" w:firstLine="8"/>
                      <w:rPr>
                        <w:sz w:val="32"/>
                        <w:szCs w:val="32"/>
                      </w:rPr>
                    </w:pPr>
                    <w:r w:rsidRPr="00911A42">
                      <w:rPr>
                        <w:color w:val="FFFFFF"/>
                        <w:sz w:val="32"/>
                        <w:szCs w:val="32"/>
                      </w:rPr>
                      <w:t>Lignes directrices de</w:t>
                    </w:r>
                    <w:r w:rsidR="00911A42">
                      <w:rPr>
                        <w:color w:val="FFFFFF"/>
                        <w:sz w:val="32"/>
                        <w:szCs w:val="32"/>
                      </w:rPr>
                      <w:br/>
                    </w:r>
                    <w:r w:rsidRPr="00911A42">
                      <w:rPr>
                        <w:color w:val="FFFFFF"/>
                        <w:sz w:val="32"/>
                        <w:szCs w:val="32"/>
                      </w:rPr>
                      <w:t>Santé Canada</w:t>
                    </w:r>
                  </w:p>
                </w:txbxContent>
              </v:textbox>
            </v:shape>
            <w10:wrap anchorx="page"/>
          </v:group>
        </w:pict>
      </w:r>
    </w:p>
    <w:p w14:paraId="1698EDCA" w14:textId="77777777" w:rsidR="00AF7BAC" w:rsidRDefault="00AF7BAC">
      <w:pPr>
        <w:pStyle w:val="BodyText"/>
        <w:rPr>
          <w:sz w:val="20"/>
        </w:rPr>
      </w:pPr>
    </w:p>
    <w:p w14:paraId="03E71742" w14:textId="77777777" w:rsidR="00AF7BAC" w:rsidRDefault="00AF7BAC">
      <w:pPr>
        <w:pStyle w:val="BodyText"/>
        <w:spacing w:before="4"/>
        <w:rPr>
          <w:sz w:val="19"/>
        </w:rPr>
      </w:pPr>
    </w:p>
    <w:p w14:paraId="5373ED48" w14:textId="5AAC7104" w:rsidR="00AF7BAC" w:rsidRDefault="00240A22" w:rsidP="00EA1179">
      <w:pPr>
        <w:pStyle w:val="ListParagraph"/>
        <w:numPr>
          <w:ilvl w:val="1"/>
          <w:numId w:val="2"/>
        </w:numPr>
        <w:tabs>
          <w:tab w:val="left" w:pos="3914"/>
          <w:tab w:val="left" w:pos="3915"/>
        </w:tabs>
        <w:spacing w:line="256" w:lineRule="auto"/>
        <w:ind w:right="73"/>
      </w:pPr>
      <w:r>
        <w:t>Santé Canada fournit des orientations sur le processus de demande et les exigences spécifiques pour les demandes de médicaments, de produits de santé naturels et d’instruments médicaux.</w:t>
      </w:r>
    </w:p>
    <w:p w14:paraId="2162C6BD" w14:textId="77777777" w:rsidR="00AF7BAC" w:rsidRDefault="00240A22">
      <w:pPr>
        <w:pStyle w:val="ListParagraph"/>
        <w:numPr>
          <w:ilvl w:val="1"/>
          <w:numId w:val="2"/>
        </w:numPr>
        <w:tabs>
          <w:tab w:val="left" w:pos="3914"/>
          <w:tab w:val="left" w:pos="3915"/>
        </w:tabs>
        <w:spacing w:before="4"/>
        <w:ind w:hanging="361"/>
      </w:pPr>
      <w:r>
        <w:t>Les médicaments pharmaceutiques sont examinés par la Direction des produits thérapeutiques (DPT).</w:t>
      </w:r>
    </w:p>
    <w:p w14:paraId="656F037F" w14:textId="77777777" w:rsidR="00AF7BAC" w:rsidRDefault="00240A22">
      <w:pPr>
        <w:pStyle w:val="ListParagraph"/>
        <w:numPr>
          <w:ilvl w:val="1"/>
          <w:numId w:val="2"/>
        </w:numPr>
        <w:tabs>
          <w:tab w:val="left" w:pos="3914"/>
          <w:tab w:val="left" w:pos="3915"/>
        </w:tabs>
        <w:spacing w:before="23" w:line="259" w:lineRule="auto"/>
        <w:ind w:right="800"/>
      </w:pPr>
      <w:r>
        <w:t>Les médicaments biologiques et produits radiopharmaceutiques sont généralement examinés par la Direction des produits biologiques et des thérapies génétiques (DPBTG).</w:t>
      </w:r>
    </w:p>
    <w:p w14:paraId="6EE5F9DF" w14:textId="77777777" w:rsidR="00AF7BAC" w:rsidRDefault="00240A22">
      <w:pPr>
        <w:pStyle w:val="ListParagraph"/>
        <w:numPr>
          <w:ilvl w:val="1"/>
          <w:numId w:val="2"/>
        </w:numPr>
        <w:tabs>
          <w:tab w:val="left" w:pos="3914"/>
          <w:tab w:val="left" w:pos="3915"/>
        </w:tabs>
        <w:spacing w:line="259" w:lineRule="auto"/>
        <w:ind w:right="1456"/>
      </w:pPr>
      <w:r>
        <w:t>La réglementation des produits de santé naturels est gérée par la Direction des produits de santé naturels et sans ordonnance (DPSNSO).</w:t>
      </w:r>
    </w:p>
    <w:p w14:paraId="07AFDEF2" w14:textId="77777777" w:rsidR="00AF7BAC" w:rsidRDefault="00240A22">
      <w:pPr>
        <w:pStyle w:val="ListParagraph"/>
        <w:numPr>
          <w:ilvl w:val="1"/>
          <w:numId w:val="2"/>
        </w:numPr>
        <w:tabs>
          <w:tab w:val="left" w:pos="3914"/>
          <w:tab w:val="left" w:pos="3915"/>
        </w:tabs>
        <w:ind w:hanging="361"/>
      </w:pPr>
      <w:r>
        <w:t>Une combinaison de produit pharmaceutique et de produit de santé naturel sera examinée par la DPT.</w:t>
      </w:r>
    </w:p>
    <w:p w14:paraId="41CD7A7B" w14:textId="7C6C53F9" w:rsidR="00EA1179" w:rsidRDefault="00240A22" w:rsidP="00EA1179">
      <w:pPr>
        <w:pStyle w:val="ListParagraph"/>
        <w:numPr>
          <w:ilvl w:val="1"/>
          <w:numId w:val="2"/>
        </w:numPr>
        <w:tabs>
          <w:tab w:val="left" w:pos="3914"/>
          <w:tab w:val="left" w:pos="3915"/>
        </w:tabs>
        <w:spacing w:before="19" w:line="256" w:lineRule="auto"/>
        <w:ind w:right="865"/>
      </w:pPr>
      <w:r>
        <w:t>Les demandes d’autorisation d’essai expérimentaux (AEE) (instruments médicaux) sont examinées par le Bureau des matériels médicaux de la DPT.</w:t>
      </w:r>
    </w:p>
    <w:p w14:paraId="0A6ADB33" w14:textId="02E08DA4" w:rsidR="00AF7BAC" w:rsidRDefault="00240A22" w:rsidP="00EA1179">
      <w:pPr>
        <w:pStyle w:val="Heading4"/>
        <w:spacing w:before="162"/>
      </w:pPr>
      <w:r>
        <w:t>Liens/ressources utiles :</w:t>
      </w:r>
    </w:p>
    <w:p w14:paraId="7BA66E98" w14:textId="77777777" w:rsidR="00EA1179" w:rsidRPr="00EA1179" w:rsidRDefault="00EA1179" w:rsidP="00EA1179">
      <w:pPr>
        <w:pStyle w:val="Heading4"/>
        <w:spacing w:before="162"/>
      </w:pPr>
    </w:p>
    <w:p w14:paraId="4067F577" w14:textId="77777777" w:rsidR="00AF7BAC" w:rsidRDefault="00492452">
      <w:pPr>
        <w:pStyle w:val="ListParagraph"/>
        <w:numPr>
          <w:ilvl w:val="2"/>
          <w:numId w:val="2"/>
        </w:numPr>
        <w:tabs>
          <w:tab w:val="left" w:pos="4275"/>
          <w:tab w:val="left" w:pos="4276"/>
        </w:tabs>
        <w:ind w:hanging="362"/>
      </w:pPr>
      <w:hyperlink r:id="rId23">
        <w:r w:rsidR="00240A22">
          <w:rPr>
            <w:color w:val="0462C1"/>
            <w:u w:val="single" w:color="0462C1"/>
          </w:rPr>
          <w:t>Ligne directrice à l’intention des promoteurs d’essais cliniques : Demandes d’essais cliniques</w:t>
        </w:r>
      </w:hyperlink>
    </w:p>
    <w:p w14:paraId="6F40AA13" w14:textId="34A900AE" w:rsidR="00AF7BAC" w:rsidRDefault="00492452">
      <w:pPr>
        <w:pStyle w:val="ListParagraph"/>
        <w:numPr>
          <w:ilvl w:val="2"/>
          <w:numId w:val="2"/>
        </w:numPr>
        <w:tabs>
          <w:tab w:val="left" w:pos="4275"/>
          <w:tab w:val="left" w:pos="4276"/>
        </w:tabs>
        <w:spacing w:before="23"/>
        <w:ind w:hanging="362"/>
      </w:pPr>
      <w:hyperlink r:id="rId24">
        <w:r w:rsidR="00240A22">
          <w:rPr>
            <w:color w:val="0462C1"/>
            <w:u w:val="single" w:color="0462C1"/>
          </w:rPr>
          <w:t>Ligne directrice de Santé Canada : Préparation des activités de réglementation en format «</w:t>
        </w:r>
        <w:r w:rsidR="00723CCD">
          <w:rPr>
            <w:color w:val="0462C1"/>
            <w:u w:val="single" w:color="0462C1"/>
          </w:rPr>
          <w:t> </w:t>
        </w:r>
        <w:r w:rsidR="00240A22">
          <w:rPr>
            <w:color w:val="0462C1"/>
            <w:u w:val="single" w:color="0462C1"/>
          </w:rPr>
          <w:t xml:space="preserve">Électronique autre que le format </w:t>
        </w:r>
        <w:proofErr w:type="spellStart"/>
        <w:r w:rsidR="00240A22">
          <w:rPr>
            <w:color w:val="0462C1"/>
            <w:u w:val="single" w:color="0462C1"/>
          </w:rPr>
          <w:t>eCTD</w:t>
        </w:r>
        <w:proofErr w:type="spellEnd"/>
        <w:r w:rsidR="00723CCD">
          <w:rPr>
            <w:color w:val="0462C1"/>
            <w:u w:val="single" w:color="0462C1"/>
          </w:rPr>
          <w:t> </w:t>
        </w:r>
        <w:r w:rsidR="00240A22">
          <w:rPr>
            <w:color w:val="0462C1"/>
            <w:u w:val="single" w:color="0462C1"/>
          </w:rPr>
          <w:t>»</w:t>
        </w:r>
      </w:hyperlink>
    </w:p>
    <w:p w14:paraId="1EC97E8F" w14:textId="77777777" w:rsidR="00AF7BAC" w:rsidRDefault="00492452">
      <w:pPr>
        <w:pStyle w:val="ListParagraph"/>
        <w:numPr>
          <w:ilvl w:val="2"/>
          <w:numId w:val="2"/>
        </w:numPr>
        <w:tabs>
          <w:tab w:val="left" w:pos="4275"/>
          <w:tab w:val="left" w:pos="4276"/>
        </w:tabs>
        <w:spacing w:before="20"/>
        <w:ind w:hanging="362"/>
      </w:pPr>
      <w:hyperlink r:id="rId25">
        <w:r w:rsidR="00240A22">
          <w:rPr>
            <w:color w:val="0462C1"/>
            <w:u w:val="single" w:color="0462C1"/>
          </w:rPr>
          <w:t>Essais cliniques pour les produits de santé naturels</w:t>
        </w:r>
      </w:hyperlink>
    </w:p>
    <w:p w14:paraId="3308FDE8" w14:textId="77777777" w:rsidR="00AF7BAC" w:rsidRDefault="00492452">
      <w:pPr>
        <w:pStyle w:val="ListParagraph"/>
        <w:numPr>
          <w:ilvl w:val="2"/>
          <w:numId w:val="2"/>
        </w:numPr>
        <w:tabs>
          <w:tab w:val="left" w:pos="4275"/>
          <w:tab w:val="left" w:pos="4276"/>
        </w:tabs>
        <w:spacing w:before="22" w:line="259" w:lineRule="auto"/>
        <w:ind w:right="1163"/>
      </w:pPr>
      <w:hyperlink r:id="rId26">
        <w:r w:rsidR="00240A22">
          <w:rPr>
            <w:color w:val="0462C1"/>
            <w:u w:val="single" w:color="0462C1"/>
          </w:rPr>
          <w:t>Guide de préparation de demandes d’autorisation visant des produits radiopharmaceutiques émetteurs de positrons destinés à des études de recherche clinique fondamentale</w:t>
        </w:r>
      </w:hyperlink>
    </w:p>
    <w:p w14:paraId="0084D1A9" w14:textId="2A220BB4" w:rsidR="00AF7BAC" w:rsidRPr="00EA1179" w:rsidRDefault="00492452" w:rsidP="00EA1179">
      <w:pPr>
        <w:pStyle w:val="ListParagraph"/>
        <w:numPr>
          <w:ilvl w:val="2"/>
          <w:numId w:val="2"/>
        </w:numPr>
        <w:tabs>
          <w:tab w:val="left" w:pos="4275"/>
          <w:tab w:val="left" w:pos="4276"/>
        </w:tabs>
        <w:spacing w:before="1" w:line="256" w:lineRule="auto"/>
        <w:ind w:right="214"/>
      </w:pPr>
      <w:r>
        <w:fldChar w:fldCharType="begin"/>
      </w:r>
      <w:r>
        <w:instrText xml:space="preserve"> HYPERLINK "https://www.canada.ca/fr/sante-canada/services/medicaments-produits-sante/instruments-medicaux/information-demandes/lignes-directrices/autorisation-essai-experimental-ligne-directrice/document-reference.html" \h </w:instrText>
      </w:r>
      <w:r>
        <w:fldChar w:fldCharType="separate"/>
      </w:r>
      <w:r w:rsidR="00240A22">
        <w:rPr>
          <w:color w:val="0462C1"/>
          <w:u w:val="single" w:color="0462C1"/>
        </w:rPr>
        <w:t xml:space="preserve">Demandes d’autorisation d’essai expérimental pour les instruments médicaux </w:t>
      </w:r>
      <w:r w:rsidR="00723CCD" w:rsidRPr="00723CCD">
        <w:rPr>
          <w:color w:val="0462C1"/>
          <w:u w:val="single" w:color="0462C1"/>
        </w:rPr>
        <w:t>–</w:t>
      </w:r>
      <w:r w:rsidR="00723CCD">
        <w:rPr>
          <w:color w:val="0462C1"/>
          <w:u w:val="single" w:color="0462C1"/>
        </w:rPr>
        <w:t xml:space="preserve"> L</w:t>
      </w:r>
      <w:r w:rsidR="00240A22">
        <w:rPr>
          <w:color w:val="0462C1"/>
          <w:u w:val="single" w:color="0462C1"/>
        </w:rPr>
        <w:t>igne directrice</w:t>
      </w:r>
      <w:r>
        <w:rPr>
          <w:color w:val="0462C1"/>
          <w:u w:val="single" w:color="0462C1"/>
        </w:rPr>
        <w:fldChar w:fldCharType="end"/>
      </w:r>
    </w:p>
    <w:p w14:paraId="7A653838" w14:textId="77777777" w:rsidR="00EA1179" w:rsidRPr="00EA1179" w:rsidRDefault="00EA1179" w:rsidP="00EA1179">
      <w:pPr>
        <w:pStyle w:val="ListParagraph"/>
        <w:tabs>
          <w:tab w:val="left" w:pos="4275"/>
          <w:tab w:val="left" w:pos="4276"/>
        </w:tabs>
        <w:spacing w:before="1" w:line="256" w:lineRule="auto"/>
        <w:ind w:left="4275" w:right="214" w:firstLine="0"/>
      </w:pPr>
    </w:p>
    <w:p w14:paraId="026BE5A3" w14:textId="43DAAC6F" w:rsidR="00AF7BAC" w:rsidRDefault="00492452">
      <w:pPr>
        <w:pStyle w:val="BodyText"/>
        <w:rPr>
          <w:sz w:val="20"/>
        </w:rPr>
      </w:pPr>
      <w:r>
        <w:pict w14:anchorId="0D881E4C">
          <v:group id="_x0000_s1092" alt="" style="position:absolute;margin-left:0;margin-top:1.85pt;width:185.75pt;height:107.4pt;z-index:251675648;mso-position-horizontal-relative:page" coordorigin=",-398" coordsize="3401,1611">
            <v:shape id="_x0000_s1093" type="#_x0000_t75" alt="" style="position:absolute;top:-399;width:3401;height:1611">
              <v:imagedata r:id="rId27" o:title=""/>
            </v:shape>
            <v:shape id="_x0000_s1094" type="#_x0000_t75" alt="" style="position:absolute;top:-344;width:3056;height:1481">
              <v:imagedata r:id="rId28" o:title=""/>
            </v:shape>
            <v:shape id="_x0000_s1095" type="#_x0000_t75" alt="" style="position:absolute;left:28;top:-351;width:3300;height:1447">
              <v:imagedata r:id="rId29" o:title=""/>
            </v:shape>
            <v:shape id="_x0000_s1096" type="#_x0000_t202" alt="" style="position:absolute;top:-399;width:3401;height:1611;mso-wrap-style:square;v-text-anchor:top" filled="f" stroked="f">
              <v:textbox inset="0,0,0,0">
                <w:txbxContent>
                  <w:p w14:paraId="06C8BABD" w14:textId="77777777" w:rsidR="00AF7BAC" w:rsidRDefault="00240A22" w:rsidP="00EA1179">
                    <w:pPr>
                      <w:spacing w:before="122"/>
                      <w:ind w:left="284" w:right="567"/>
                      <w:rPr>
                        <w:sz w:val="36"/>
                      </w:rPr>
                    </w:pPr>
                    <w:r w:rsidRPr="00EA1179">
                      <w:rPr>
                        <w:color w:val="FFFFFF"/>
                        <w:sz w:val="32"/>
                        <w:szCs w:val="32"/>
                      </w:rPr>
                      <w:t xml:space="preserve">Évaluation de la demande d’essai clinique (DEC) </w:t>
                    </w:r>
                    <w:r>
                      <w:rPr>
                        <w:color w:val="FFFFFF"/>
                        <w:sz w:val="36"/>
                      </w:rPr>
                      <w:t>par l’IRSM</w:t>
                    </w:r>
                  </w:p>
                  <w:p w14:paraId="5DB0A938" w14:textId="77777777" w:rsidR="00AF7BAC" w:rsidRDefault="00AF7BAC">
                    <w:pPr>
                      <w:spacing w:before="35" w:line="256" w:lineRule="auto"/>
                      <w:ind w:left="669" w:right="1073"/>
                      <w:jc w:val="center"/>
                      <w:rPr>
                        <w:sz w:val="36"/>
                      </w:rPr>
                    </w:pPr>
                  </w:p>
                </w:txbxContent>
              </v:textbox>
            </v:shape>
            <w10:wrap anchorx="page"/>
          </v:group>
        </w:pict>
      </w:r>
    </w:p>
    <w:p w14:paraId="00555C43" w14:textId="77777777" w:rsidR="00AF7BAC" w:rsidRDefault="00AF7BAC">
      <w:pPr>
        <w:pStyle w:val="BodyText"/>
        <w:spacing w:before="3"/>
        <w:rPr>
          <w:sz w:val="16"/>
        </w:rPr>
      </w:pPr>
    </w:p>
    <w:p w14:paraId="65C11E3C" w14:textId="138EDCAC" w:rsidR="00AF7BAC" w:rsidRDefault="00240A22" w:rsidP="00EA1179">
      <w:pPr>
        <w:pStyle w:val="BodyText"/>
        <w:spacing w:before="56" w:line="259" w:lineRule="auto"/>
        <w:ind w:left="3600" w:right="214"/>
      </w:pPr>
      <w:r>
        <w:t xml:space="preserve">Toutes les demandes d’essais cliniques (DEC) doivent être soumises au format approprié à </w:t>
      </w:r>
      <w:hyperlink r:id="rId30">
        <w:r>
          <w:rPr>
            <w:color w:val="0462C1"/>
          </w:rPr>
          <w:t>tammy.beaudoin@theroyal.ca</w:t>
        </w:r>
      </w:hyperlink>
      <w:r>
        <w:t xml:space="preserve"> avant d’être soumises à Santé Canada. La demande sera alors évaluée pour vérifier si elle est exacte, complète, exhaustive et conforme aux Bonnes pratiques cliniques (BPC) de la CIH et aux exigences de Santé Canada (SC). L</w:t>
      </w:r>
      <w:r w:rsidR="004109BA">
        <w:t>a personne chargée de l’évaluation</w:t>
      </w:r>
      <w:r>
        <w:t xml:space="preserve"> de la demande communiquera à votre équipe tous les points qui doivent être réglés avant la soumission de la DEC.</w:t>
      </w:r>
    </w:p>
    <w:p w14:paraId="3CB1D596" w14:textId="77777777" w:rsidR="00AF7BAC" w:rsidRDefault="00240A22">
      <w:pPr>
        <w:pStyle w:val="BodyText"/>
        <w:spacing w:before="156"/>
        <w:ind w:left="3600"/>
      </w:pPr>
      <w:r>
        <w:t>Pour éviter de multiples révisions par la facilitatrice de la recherche clinique :</w:t>
      </w:r>
    </w:p>
    <w:p w14:paraId="0D5BA1EE" w14:textId="77777777" w:rsidR="00AF7BAC" w:rsidRDefault="00240A22">
      <w:pPr>
        <w:pStyle w:val="ListParagraph"/>
        <w:numPr>
          <w:ilvl w:val="2"/>
          <w:numId w:val="2"/>
        </w:numPr>
        <w:tabs>
          <w:tab w:val="left" w:pos="4275"/>
          <w:tab w:val="left" w:pos="4276"/>
        </w:tabs>
        <w:spacing w:before="183"/>
        <w:ind w:hanging="362"/>
      </w:pPr>
      <w:r>
        <w:t>Utilisez un modèle de protocole conforme aux BPC et aux exigences de SC.</w:t>
      </w:r>
    </w:p>
    <w:p w14:paraId="0F5FD10D" w14:textId="77777777" w:rsidR="00AF7BAC" w:rsidRDefault="00240A22">
      <w:pPr>
        <w:pStyle w:val="ListParagraph"/>
        <w:numPr>
          <w:ilvl w:val="2"/>
          <w:numId w:val="2"/>
        </w:numPr>
        <w:tabs>
          <w:tab w:val="left" w:pos="4275"/>
          <w:tab w:val="left" w:pos="4276"/>
        </w:tabs>
        <w:spacing w:before="1"/>
        <w:ind w:hanging="362"/>
      </w:pPr>
      <w:r>
        <w:t>Suivez attentivement les directives des documents d’orientation appropriés de SC.</w:t>
      </w:r>
    </w:p>
    <w:p w14:paraId="69E38BEE" w14:textId="77777777" w:rsidR="00AF7BAC" w:rsidRDefault="00240A22">
      <w:pPr>
        <w:pStyle w:val="ListParagraph"/>
        <w:numPr>
          <w:ilvl w:val="2"/>
          <w:numId w:val="2"/>
        </w:numPr>
        <w:tabs>
          <w:tab w:val="left" w:pos="4275"/>
          <w:tab w:val="left" w:pos="4276"/>
        </w:tabs>
        <w:ind w:hanging="362"/>
      </w:pPr>
      <w:r>
        <w:lastRenderedPageBreak/>
        <w:t>Remplissez la liste de contrôle d’évaluation des DEC avant de soumettre votre demande.</w:t>
      </w:r>
    </w:p>
    <w:p w14:paraId="1E61A40E" w14:textId="77777777" w:rsidR="00EA1179" w:rsidRDefault="00240A22" w:rsidP="00EA1179">
      <w:pPr>
        <w:pStyle w:val="ListParagraph"/>
        <w:numPr>
          <w:ilvl w:val="2"/>
          <w:numId w:val="2"/>
        </w:numPr>
        <w:tabs>
          <w:tab w:val="left" w:pos="4275"/>
          <w:tab w:val="left" w:pos="4276"/>
        </w:tabs>
        <w:spacing w:before="1"/>
        <w:ind w:hanging="362"/>
      </w:pPr>
      <w:r>
        <w:t>Soumettez la demande en suivant la structure de fichier requise par SC, c’est-à-dire sous forme de dossier Zip.</w:t>
      </w:r>
    </w:p>
    <w:p w14:paraId="29BD8FEE" w14:textId="43AEA7A1" w:rsidR="00AF7BAC" w:rsidRDefault="00240A22" w:rsidP="00EA1179">
      <w:pPr>
        <w:pStyle w:val="ListParagraph"/>
        <w:numPr>
          <w:ilvl w:val="2"/>
          <w:numId w:val="2"/>
        </w:numPr>
        <w:tabs>
          <w:tab w:val="left" w:pos="4275"/>
          <w:tab w:val="left" w:pos="4276"/>
        </w:tabs>
        <w:spacing w:before="1"/>
        <w:ind w:hanging="362"/>
      </w:pPr>
      <w:r>
        <w:t>Une fois que la DEC est jugée complète et exacte, le chef de l’exploitation de l’IRSM sera informé que le formulaire 3011 de Santé Canada est prêt à être signé. Les formulaires 3011 doivent arriver au bureau du chef de l’exploitation déjà signés par le chercheur. Lorsque le document comporte toutes les signatures nécessaires, la demande peut être soumise à Santé Canada.</w:t>
      </w:r>
    </w:p>
    <w:p w14:paraId="6847658A" w14:textId="77777777" w:rsidR="00AF7BAC" w:rsidRDefault="00240A22">
      <w:pPr>
        <w:pStyle w:val="Heading4"/>
        <w:spacing w:before="169"/>
      </w:pPr>
      <w:r>
        <w:t>Liens/ressources utiles :</w:t>
      </w:r>
    </w:p>
    <w:p w14:paraId="160F554C" w14:textId="77777777" w:rsidR="00AF7BAC" w:rsidRPr="00A53293" w:rsidRDefault="00492452">
      <w:pPr>
        <w:pStyle w:val="ListParagraph"/>
        <w:numPr>
          <w:ilvl w:val="2"/>
          <w:numId w:val="2"/>
        </w:numPr>
        <w:tabs>
          <w:tab w:val="left" w:pos="4275"/>
          <w:tab w:val="left" w:pos="4276"/>
        </w:tabs>
        <w:spacing w:before="183"/>
        <w:ind w:hanging="362"/>
        <w:rPr>
          <w:lang w:val="en-CA"/>
        </w:rPr>
      </w:pPr>
      <w:hyperlink r:id="rId31">
        <w:r w:rsidR="00240A22" w:rsidRPr="00A53293">
          <w:rPr>
            <w:color w:val="0462C1"/>
            <w:u w:val="single" w:color="0462C1"/>
            <w:lang w:val="en-CA"/>
          </w:rPr>
          <w:t>N2 SOP 018 Clinical Trial Application Drugs</w:t>
        </w:r>
      </w:hyperlink>
    </w:p>
    <w:p w14:paraId="6548093E" w14:textId="77777777" w:rsidR="00AF7BAC" w:rsidRPr="00A53293" w:rsidRDefault="00492452">
      <w:pPr>
        <w:pStyle w:val="ListParagraph"/>
        <w:numPr>
          <w:ilvl w:val="2"/>
          <w:numId w:val="2"/>
        </w:numPr>
        <w:tabs>
          <w:tab w:val="left" w:pos="4275"/>
          <w:tab w:val="left" w:pos="4276"/>
        </w:tabs>
        <w:spacing w:before="22"/>
        <w:ind w:hanging="362"/>
        <w:rPr>
          <w:lang w:val="en-CA"/>
        </w:rPr>
      </w:pPr>
      <w:hyperlink r:id="rId32">
        <w:r w:rsidR="00240A22" w:rsidRPr="00A53293">
          <w:rPr>
            <w:color w:val="0462C1"/>
            <w:u w:val="single" w:color="0462C1"/>
            <w:lang w:val="en-CA"/>
          </w:rPr>
          <w:t>N2 SOP Clinical Trial Application Natural Health Products</w:t>
        </w:r>
      </w:hyperlink>
    </w:p>
    <w:p w14:paraId="1797780D" w14:textId="72296199" w:rsidR="00AF7BAC" w:rsidRPr="00A53293" w:rsidRDefault="00492452">
      <w:pPr>
        <w:pStyle w:val="ListParagraph"/>
        <w:numPr>
          <w:ilvl w:val="2"/>
          <w:numId w:val="2"/>
        </w:numPr>
        <w:tabs>
          <w:tab w:val="left" w:pos="4275"/>
          <w:tab w:val="left" w:pos="4276"/>
        </w:tabs>
        <w:spacing w:before="20" w:line="259" w:lineRule="auto"/>
        <w:ind w:right="704"/>
        <w:rPr>
          <w:lang w:val="en-CA"/>
        </w:rPr>
      </w:pPr>
      <w:hyperlink r:id="rId33">
        <w:r w:rsidR="00240A22" w:rsidRPr="00A53293">
          <w:rPr>
            <w:color w:val="0462C1"/>
            <w:u w:val="single" w:color="0462C1"/>
            <w:lang w:val="en-CA"/>
          </w:rPr>
          <w:t>Investigational Testing Authorization (ITA) for Medical Devices (non-IVDD)</w:t>
        </w:r>
      </w:hyperlink>
      <w:r w:rsidR="00F70D9A" w:rsidRPr="00A53293">
        <w:rPr>
          <w:color w:val="0462C1"/>
          <w:u w:val="single" w:color="0462C1"/>
          <w:lang w:val="en-CA"/>
        </w:rPr>
        <w:t xml:space="preserve"> and</w:t>
      </w:r>
      <w:r w:rsidR="00240A22" w:rsidRPr="00A53293">
        <w:rPr>
          <w:lang w:val="en-CA"/>
        </w:rPr>
        <w:t xml:space="preserve"> </w:t>
      </w:r>
      <w:hyperlink r:id="rId34">
        <w:r w:rsidR="00240A22" w:rsidRPr="00A53293">
          <w:rPr>
            <w:color w:val="0462C1"/>
            <w:u w:val="single" w:color="0462C1"/>
            <w:lang w:val="en-CA"/>
          </w:rPr>
          <w:t>Manufacturer/Sponsor Obligations</w:t>
        </w:r>
      </w:hyperlink>
    </w:p>
    <w:p w14:paraId="28E54D1C" w14:textId="77777777" w:rsidR="00AF7BAC" w:rsidRPr="00A53293" w:rsidRDefault="00AF7BAC">
      <w:pPr>
        <w:pStyle w:val="BodyText"/>
        <w:rPr>
          <w:sz w:val="20"/>
          <w:lang w:val="en-CA"/>
        </w:rPr>
      </w:pPr>
    </w:p>
    <w:p w14:paraId="7FCC0276" w14:textId="66CD56C6" w:rsidR="00AF7BAC" w:rsidRPr="00A53293" w:rsidRDefault="00492452">
      <w:pPr>
        <w:pStyle w:val="BodyText"/>
        <w:rPr>
          <w:sz w:val="20"/>
          <w:lang w:val="en-CA"/>
        </w:rPr>
      </w:pPr>
      <w:r>
        <w:pict w14:anchorId="0867EDD6">
          <v:group id="_x0000_s1084" alt="" style="position:absolute;margin-left:29.3pt;margin-top:13.65pt;width:555.65pt;height:98pt;z-index:-251638784;mso-wrap-distance-left:0;mso-wrap-distance-right:0;mso-position-horizontal-relative:page" coordorigin="586,163" coordsize="11113,1875">
            <v:shape id="_x0000_s1085" type="#_x0000_t75" alt="" style="position:absolute;left:585;top:162;width:11113;height:1875">
              <v:imagedata r:id="rId35" o:title=""/>
            </v:shape>
            <v:shape id="_x0000_s1086" type="#_x0000_t75" alt="" style="position:absolute;left:720;top:198;width:10935;height:1712">
              <v:imagedata r:id="rId36" o:title=""/>
            </v:shape>
            <v:shape id="_x0000_s1087" alt="" style="position:absolute;left:720;top:198;width:10935;height:1712" coordorigin="720,199" coordsize="10935,1712" path="m720,484r10,-75l759,340r45,-57l861,238r68,-29l1005,199r10365,l11445,209r69,29l11571,283r45,57l11645,409r10,75l11655,1626r-10,75l11616,1770r-45,57l11514,1872r-69,29l11370,1911r-10365,l929,1901r-68,-29l804,1827r-45,-57l730,1701r-10,-75l720,484xe" filled="f" strokecolor="#006fc0" strokeweight="2.25pt">
              <v:path arrowok="t"/>
            </v:shape>
            <v:shape id="_x0000_s1088" type="#_x0000_t75" alt="" style="position:absolute;left:855;top:528;width:7785;height:1116">
              <v:imagedata r:id="rId37" o:title=""/>
            </v:shape>
            <v:shape id="_x0000_s1089" type="#_x0000_t75" alt="" style="position:absolute;left:8789;top:606;width:797;height:896">
              <v:imagedata r:id="rId38" o:title=""/>
            </v:shape>
            <v:shape id="_x0000_s1090" type="#_x0000_t75" alt="" style="position:absolute;left:10124;top:606;width:796;height:896">
              <v:imagedata r:id="rId39" o:title=""/>
            </v:shape>
            <v:shape id="_x0000_s1091" type="#_x0000_t202" alt="" style="position:absolute;left:855;top:528;width:7785;height:1116;mso-wrap-style:square;v-text-anchor:top" filled="f" stroked="f">
              <v:textbox inset="0,0,0,0">
                <w:txbxContent>
                  <w:p w14:paraId="2DA1266D" w14:textId="1A1E6D6F" w:rsidR="00AF7BAC" w:rsidRDefault="00240A22">
                    <w:pPr>
                      <w:spacing w:before="216"/>
                      <w:ind w:left="453"/>
                      <w:rPr>
                        <w:b/>
                        <w:i/>
                        <w:sz w:val="40"/>
                      </w:rPr>
                    </w:pPr>
                    <w:r>
                      <w:rPr>
                        <w:b/>
                        <w:i/>
                        <w:color w:val="006FC0"/>
                        <w:sz w:val="40"/>
                      </w:rPr>
                      <w:t>Produit pharmaceutiques (médicaments)</w:t>
                    </w:r>
                    <w:r w:rsidR="0099564A">
                      <w:rPr>
                        <w:b/>
                        <w:i/>
                        <w:color w:val="006FC0"/>
                        <w:sz w:val="40"/>
                      </w:rPr>
                      <w:br/>
                    </w:r>
                    <w:r>
                      <w:rPr>
                        <w:b/>
                        <w:i/>
                        <w:color w:val="006FC0"/>
                        <w:sz w:val="40"/>
                      </w:rPr>
                      <w:t>ou biologiques</w:t>
                    </w:r>
                  </w:p>
                </w:txbxContent>
              </v:textbox>
            </v:shape>
            <w10:wrap type="topAndBottom" anchorx="page"/>
          </v:group>
        </w:pict>
      </w:r>
    </w:p>
    <w:p w14:paraId="50875A28" w14:textId="44C5795A" w:rsidR="00AF7BAC" w:rsidRPr="00A53293" w:rsidRDefault="00AF7BAC">
      <w:pPr>
        <w:pStyle w:val="BodyText"/>
        <w:spacing w:before="1"/>
        <w:rPr>
          <w:sz w:val="10"/>
          <w:lang w:val="en-CA"/>
        </w:rPr>
      </w:pPr>
    </w:p>
    <w:p w14:paraId="739AA2F2" w14:textId="57D4BBC4" w:rsidR="00AF7BAC" w:rsidRDefault="00240A22" w:rsidP="00EA1179">
      <w:pPr>
        <w:pStyle w:val="ListParagraph"/>
        <w:numPr>
          <w:ilvl w:val="0"/>
          <w:numId w:val="2"/>
        </w:numPr>
        <w:tabs>
          <w:tab w:val="left" w:pos="1440"/>
          <w:tab w:val="left" w:pos="1441"/>
        </w:tabs>
        <w:spacing w:before="115" w:line="256" w:lineRule="auto"/>
        <w:ind w:left="1440" w:right="73"/>
      </w:pPr>
      <w:r>
        <w:t xml:space="preserve">Les demandes d’essais cliniques (DEC) et les modifications de DEC (MDEC) adressées à la Direction des produits thérapeutiques (DPT) doivent être soumises par voie électronique. </w:t>
      </w:r>
      <w:r>
        <w:rPr>
          <w:b/>
          <w:bCs/>
          <w:i/>
          <w:iCs/>
        </w:rPr>
        <w:t>Les demandes sur papier ne sont plus acceptées.</w:t>
      </w:r>
    </w:p>
    <w:p w14:paraId="0E6A05C5" w14:textId="011DC644" w:rsidR="00AF7BAC" w:rsidRDefault="00240A22" w:rsidP="00EA1179">
      <w:pPr>
        <w:pStyle w:val="ListParagraph"/>
        <w:numPr>
          <w:ilvl w:val="0"/>
          <w:numId w:val="2"/>
        </w:numPr>
        <w:tabs>
          <w:tab w:val="left" w:pos="1440"/>
          <w:tab w:val="left" w:pos="1441"/>
        </w:tabs>
        <w:spacing w:before="4" w:line="259" w:lineRule="auto"/>
        <w:ind w:left="1440" w:right="73"/>
      </w:pPr>
      <w:r>
        <w:t xml:space="preserve">Lorsque vous soumettez une DEC ou une MDEC, vous devez </w:t>
      </w:r>
      <w:r w:rsidR="006038D5">
        <w:t>l’</w:t>
      </w:r>
      <w:r>
        <w:t xml:space="preserve">accompagner d’une </w:t>
      </w:r>
      <w:r>
        <w:rPr>
          <w:b/>
          <w:bCs/>
          <w:i/>
          <w:iCs/>
        </w:rPr>
        <w:t>copie papier de la lettre d'accompagnement uniquement</w:t>
      </w:r>
      <w:r>
        <w:t>.</w:t>
      </w:r>
    </w:p>
    <w:p w14:paraId="146C00C1" w14:textId="7A34B5C4" w:rsidR="00AF7BAC" w:rsidRDefault="00240A22" w:rsidP="00EA1179">
      <w:pPr>
        <w:pStyle w:val="ListParagraph"/>
        <w:numPr>
          <w:ilvl w:val="0"/>
          <w:numId w:val="2"/>
        </w:numPr>
        <w:tabs>
          <w:tab w:val="left" w:pos="1440"/>
          <w:tab w:val="left" w:pos="1441"/>
        </w:tabs>
        <w:spacing w:line="259" w:lineRule="auto"/>
        <w:ind w:left="1440" w:right="73"/>
      </w:pPr>
      <w:r>
        <w:t>La section 2.1 du guide de Santé Canada (Ligne directrice : Préparation des activités de réglementation des drogues en format «</w:t>
      </w:r>
      <w:r w:rsidR="00E11452">
        <w:t> </w:t>
      </w:r>
      <w:r>
        <w:t xml:space="preserve">électronique autre que le format </w:t>
      </w:r>
      <w:proofErr w:type="spellStart"/>
      <w:r>
        <w:t>eCTD</w:t>
      </w:r>
      <w:proofErr w:type="spellEnd"/>
      <w:r w:rsidR="00E11452">
        <w:t> </w:t>
      </w:r>
      <w:r>
        <w:t>») décrit les exigences spécifiques de la lettre d’accompagnement ainsi que les éléments qu’elle doit comprendre.</w:t>
      </w:r>
    </w:p>
    <w:p w14:paraId="0E65A9B5" w14:textId="77777777" w:rsidR="00AF7BAC" w:rsidRDefault="00240A22" w:rsidP="00EA1179">
      <w:pPr>
        <w:pStyle w:val="ListParagraph"/>
        <w:numPr>
          <w:ilvl w:val="0"/>
          <w:numId w:val="2"/>
        </w:numPr>
        <w:tabs>
          <w:tab w:val="left" w:pos="1440"/>
          <w:tab w:val="left" w:pos="1441"/>
        </w:tabs>
        <w:spacing w:line="256" w:lineRule="auto"/>
        <w:ind w:left="1440" w:right="73"/>
      </w:pPr>
      <w:r>
        <w:t>Les documents qui nécessitent une signature (p. ex. : formulaire 3011, lettre d’accompagnement, attestation) doivent être imprimés, signés, numérisés et sauvegardés au format PDF, sauf indication contraire.</w:t>
      </w:r>
    </w:p>
    <w:p w14:paraId="6D2C4411" w14:textId="0995BA7A" w:rsidR="00AF7BAC" w:rsidRDefault="00240A22" w:rsidP="00EA1179">
      <w:pPr>
        <w:pStyle w:val="ListParagraph"/>
        <w:numPr>
          <w:ilvl w:val="0"/>
          <w:numId w:val="2"/>
        </w:numPr>
        <w:tabs>
          <w:tab w:val="left" w:pos="1440"/>
          <w:tab w:val="left" w:pos="1441"/>
        </w:tabs>
        <w:spacing w:before="4"/>
        <w:ind w:left="1440" w:right="73"/>
      </w:pPr>
      <w:r>
        <w:t>La Ligne directrice présente également la structure de dossiers acceptable pour les DEC.</w:t>
      </w:r>
    </w:p>
    <w:p w14:paraId="563C2CAC" w14:textId="77777777" w:rsidR="00AF7BAC" w:rsidRDefault="00240A22" w:rsidP="00EA1179">
      <w:pPr>
        <w:pStyle w:val="ListParagraph"/>
        <w:numPr>
          <w:ilvl w:val="0"/>
          <w:numId w:val="2"/>
        </w:numPr>
        <w:tabs>
          <w:tab w:val="left" w:pos="1440"/>
          <w:tab w:val="left" w:pos="1441"/>
        </w:tabs>
        <w:spacing w:before="22" w:line="256" w:lineRule="auto"/>
        <w:ind w:left="1440" w:right="73"/>
      </w:pPr>
      <w:r>
        <w:t>La structure ne doit comprendre aucun dossier vide (il convient de supprimer un dossier qui ne s’applique pas à votre demande), mais la numérotation des dossiers ne doit pas être modifiée.</w:t>
      </w:r>
    </w:p>
    <w:p w14:paraId="5D8A9CEC" w14:textId="77777777" w:rsidR="00AF7BAC" w:rsidRDefault="00240A22" w:rsidP="00EA1179">
      <w:pPr>
        <w:pStyle w:val="ListParagraph"/>
        <w:numPr>
          <w:ilvl w:val="0"/>
          <w:numId w:val="2"/>
        </w:numPr>
        <w:tabs>
          <w:tab w:val="left" w:pos="1440"/>
          <w:tab w:val="left" w:pos="1441"/>
        </w:tabs>
        <w:spacing w:before="4" w:line="259" w:lineRule="auto"/>
        <w:ind w:left="1440" w:right="73"/>
      </w:pPr>
      <w:r>
        <w:t xml:space="preserve">Le formulaire d’information sur le lieu de l’essai clinique (ILEC) doit </w:t>
      </w:r>
      <w:r>
        <w:rPr>
          <w:b/>
          <w:bCs/>
          <w:i/>
          <w:iCs/>
        </w:rPr>
        <w:t>seulement</w:t>
      </w:r>
      <w:r>
        <w:t xml:space="preserve"> être soumis une fois que toutes les autorisations ont été obtenues, que la formation est terminée et que les chercheurs sont prêts à commencer les activités de recrutement.</w:t>
      </w:r>
    </w:p>
    <w:p w14:paraId="29B2ECCB" w14:textId="77777777" w:rsidR="00AF7BAC" w:rsidRDefault="00240A22" w:rsidP="00EA1179">
      <w:pPr>
        <w:pStyle w:val="ListParagraph"/>
        <w:numPr>
          <w:ilvl w:val="0"/>
          <w:numId w:val="2"/>
        </w:numPr>
        <w:tabs>
          <w:tab w:val="left" w:pos="1440"/>
          <w:tab w:val="left" w:pos="1441"/>
        </w:tabs>
        <w:spacing w:before="1" w:line="256" w:lineRule="auto"/>
        <w:ind w:left="1440" w:right="73"/>
      </w:pPr>
      <w:r>
        <w:t xml:space="preserve">Le formulaire d’engagement du chercheur qualifié (ECQ) doit être rempli et signé par le chercheur qualifié responsable de la conduite de l’essai clinique dans chaque lieu mentionné. Il doit être conservé dans le classeur réglementaire du site où se déroule l’essai et ne doit </w:t>
      </w:r>
      <w:r>
        <w:rPr>
          <w:b/>
          <w:bCs/>
          <w:i/>
          <w:iCs/>
        </w:rPr>
        <w:t>pas</w:t>
      </w:r>
      <w:r>
        <w:t xml:space="preserve"> être soumis à Santé Canada (sauf sur demande).</w:t>
      </w:r>
    </w:p>
    <w:p w14:paraId="5032E02B" w14:textId="77777777" w:rsidR="00AF7BAC" w:rsidRDefault="00240A22" w:rsidP="00EA1179">
      <w:pPr>
        <w:pStyle w:val="ListParagraph"/>
        <w:numPr>
          <w:ilvl w:val="0"/>
          <w:numId w:val="2"/>
        </w:numPr>
        <w:tabs>
          <w:tab w:val="left" w:pos="1440"/>
          <w:tab w:val="left" w:pos="1441"/>
        </w:tabs>
        <w:spacing w:before="4" w:line="259" w:lineRule="auto"/>
        <w:ind w:left="1440" w:right="73"/>
        <w:rPr>
          <w:b/>
        </w:rPr>
      </w:pPr>
      <w:r>
        <w:t xml:space="preserve">Santé Canada terminera le processus d’examen dans les 30 jours suivant la réception de la demande. Une fois la demande autorisée, une lettre de non-objection (LNO) sera envoyée au promoteur. </w:t>
      </w:r>
      <w:r>
        <w:rPr>
          <w:b/>
        </w:rPr>
        <w:t>Si vous ne recevez pas de lettre de non-objection après 30 jours, vous ne devez pas commencer votre étude. Communiquez avec Santé Canada pour assurer le suivi.</w:t>
      </w:r>
    </w:p>
    <w:p w14:paraId="4ACEA2D8" w14:textId="7F0E1DE9" w:rsidR="00AF7BAC" w:rsidRDefault="00240A22" w:rsidP="00EA1179">
      <w:pPr>
        <w:pStyle w:val="ListParagraph"/>
        <w:numPr>
          <w:ilvl w:val="0"/>
          <w:numId w:val="2"/>
        </w:numPr>
        <w:tabs>
          <w:tab w:val="left" w:pos="1440"/>
          <w:tab w:val="left" w:pos="1441"/>
        </w:tabs>
        <w:spacing w:line="259" w:lineRule="auto"/>
        <w:ind w:left="1440" w:right="73"/>
      </w:pPr>
      <w:r>
        <w:t xml:space="preserve">Les demandes d’éclaircissements adressées par Santé Canada </w:t>
      </w:r>
      <w:r>
        <w:rPr>
          <w:b/>
          <w:bCs/>
          <w:i/>
          <w:iCs/>
        </w:rPr>
        <w:t>doivent</w:t>
      </w:r>
      <w:r>
        <w:t xml:space="preserve"> être traitées dans un délai de </w:t>
      </w:r>
      <w:r w:rsidR="001873FC">
        <w:t>2</w:t>
      </w:r>
      <w:r>
        <w:t xml:space="preserve"> jours civils.</w:t>
      </w:r>
    </w:p>
    <w:p w14:paraId="47331CB1" w14:textId="10973CFE" w:rsidR="00EA1179" w:rsidRDefault="00240A22" w:rsidP="006038D5">
      <w:pPr>
        <w:pStyle w:val="ListParagraph"/>
        <w:numPr>
          <w:ilvl w:val="0"/>
          <w:numId w:val="2"/>
        </w:numPr>
        <w:tabs>
          <w:tab w:val="left" w:pos="1440"/>
          <w:tab w:val="left" w:pos="1441"/>
        </w:tabs>
        <w:ind w:left="1440" w:right="73"/>
      </w:pPr>
      <w:r>
        <w:t>Pour tous les produits biologiques, la DPBTG exige que les renseignements relatifs à la mise en circulation du lot soient fournis par le promoteur/fabricant à l’origine de la DEC avant son utilisation dans le cadre de l’essai.</w:t>
      </w:r>
    </w:p>
    <w:p w14:paraId="5817B918" w14:textId="150B8ACF" w:rsidR="00AF7BAC" w:rsidRDefault="00240A22" w:rsidP="00EA1179">
      <w:pPr>
        <w:pStyle w:val="ListParagraph"/>
        <w:numPr>
          <w:ilvl w:val="0"/>
          <w:numId w:val="2"/>
        </w:numPr>
        <w:tabs>
          <w:tab w:val="left" w:pos="1440"/>
          <w:tab w:val="left" w:pos="1441"/>
        </w:tabs>
        <w:ind w:left="1440" w:right="73"/>
      </w:pPr>
      <w:r>
        <w:t>Les essais qui reçoivent l’approbation de la DPT et de la DPBTG doivent respecter les Bonnes pratiques cliniques de la CIH ainsi que les règles du Titre 5 du Règlement sur les aliments et drogues de Santé Canada.</w:t>
      </w:r>
    </w:p>
    <w:p w14:paraId="76D8D2F4" w14:textId="77777777" w:rsidR="006038D5" w:rsidRDefault="006038D5" w:rsidP="006038D5">
      <w:pPr>
        <w:pStyle w:val="ListParagraph"/>
        <w:tabs>
          <w:tab w:val="left" w:pos="1440"/>
          <w:tab w:val="left" w:pos="1441"/>
        </w:tabs>
        <w:ind w:right="73" w:firstLine="0"/>
      </w:pPr>
    </w:p>
    <w:p w14:paraId="2FFFA066" w14:textId="77777777" w:rsidR="008D5676" w:rsidRDefault="008D5676" w:rsidP="008D5676">
      <w:pPr>
        <w:pStyle w:val="ListParagraph"/>
        <w:tabs>
          <w:tab w:val="left" w:pos="1440"/>
          <w:tab w:val="left" w:pos="1441"/>
        </w:tabs>
        <w:spacing w:before="21" w:line="254" w:lineRule="auto"/>
        <w:ind w:right="73" w:firstLine="0"/>
      </w:pPr>
    </w:p>
    <w:p w14:paraId="7CB94164" w14:textId="77777777" w:rsidR="008D5676" w:rsidRDefault="008D5676" w:rsidP="008D5676">
      <w:pPr>
        <w:pStyle w:val="ListParagraph"/>
      </w:pPr>
    </w:p>
    <w:p w14:paraId="2124BDBD" w14:textId="3A839ACC" w:rsidR="00AF7BAC" w:rsidRDefault="00240A22" w:rsidP="00EA1179">
      <w:pPr>
        <w:pStyle w:val="ListParagraph"/>
        <w:numPr>
          <w:ilvl w:val="0"/>
          <w:numId w:val="2"/>
        </w:numPr>
        <w:tabs>
          <w:tab w:val="left" w:pos="1440"/>
          <w:tab w:val="left" w:pos="1441"/>
        </w:tabs>
        <w:spacing w:before="21" w:line="254" w:lineRule="auto"/>
        <w:ind w:left="1440" w:right="73"/>
      </w:pPr>
      <w:r>
        <w:t xml:space="preserve">Seules les </w:t>
      </w:r>
      <w:r>
        <w:rPr>
          <w:b/>
          <w:bCs/>
          <w:i/>
          <w:iCs/>
        </w:rPr>
        <w:t>réactions indésirables graves et imprévues aux médicaments</w:t>
      </w:r>
      <w:r>
        <w:t xml:space="preserve"> doivent être signalées à Santé Canada, conformément aux règles du Titre 5 du Règlement sur les aliments et drogues de Santé Canada</w:t>
      </w:r>
      <w:r w:rsidR="008D5676">
        <w:t>,</w:t>
      </w:r>
      <w:r>
        <w:t xml:space="preserve"> pour les essais pour lesquels une lettre de non-objection (LNO) a été émise.</w:t>
      </w:r>
    </w:p>
    <w:p w14:paraId="0B5CDC2F" w14:textId="77777777" w:rsidR="00AF7BAC" w:rsidRDefault="00AF7BAC">
      <w:pPr>
        <w:spacing w:line="254" w:lineRule="auto"/>
      </w:pPr>
    </w:p>
    <w:p w14:paraId="3B6C1ECA" w14:textId="77777777" w:rsidR="00AF7BAC" w:rsidRDefault="00240A22">
      <w:pPr>
        <w:pStyle w:val="Heading4"/>
        <w:spacing w:before="39"/>
        <w:ind w:left="1466"/>
      </w:pPr>
      <w:r>
        <w:t>Séquence des demandes</w:t>
      </w:r>
    </w:p>
    <w:p w14:paraId="3DE5F56A" w14:textId="77777777" w:rsidR="00AF7BAC" w:rsidRDefault="00240A22">
      <w:pPr>
        <w:pStyle w:val="BodyText"/>
        <w:spacing w:before="19"/>
        <w:ind w:left="1428"/>
      </w:pPr>
      <w:r>
        <w:t>Les demandes d’essai clinique peuvent être soumises à la DPT et à la DPBTG :</w:t>
      </w:r>
    </w:p>
    <w:p w14:paraId="3A04A8AB" w14:textId="77777777" w:rsidR="00AF7BAC" w:rsidRDefault="00240A22">
      <w:pPr>
        <w:pStyle w:val="ListParagraph"/>
        <w:numPr>
          <w:ilvl w:val="1"/>
          <w:numId w:val="2"/>
        </w:numPr>
        <w:tabs>
          <w:tab w:val="left" w:pos="2148"/>
          <w:tab w:val="left" w:pos="2149"/>
        </w:tabs>
        <w:spacing w:before="183" w:line="259" w:lineRule="auto"/>
        <w:ind w:left="2148" w:right="477"/>
      </w:pPr>
      <w:r>
        <w:rPr>
          <w:b/>
          <w:bCs/>
        </w:rPr>
        <w:t>Avant de recevoir l’approbation du CÉR</w:t>
      </w:r>
      <w:r>
        <w:t xml:space="preserve"> – C’est le cas le plus courant lorsque les essais sont de nature complexe ou nécessitent une évaluation/consultation préalable à la soumission de la DEC.</w:t>
      </w:r>
    </w:p>
    <w:p w14:paraId="5FC774B2" w14:textId="72224A99" w:rsidR="00AF7BAC" w:rsidRDefault="00240A22">
      <w:pPr>
        <w:pStyle w:val="ListParagraph"/>
        <w:numPr>
          <w:ilvl w:val="1"/>
          <w:numId w:val="2"/>
        </w:numPr>
        <w:tabs>
          <w:tab w:val="left" w:pos="2148"/>
          <w:tab w:val="left" w:pos="2149"/>
        </w:tabs>
        <w:spacing w:before="2" w:line="259" w:lineRule="auto"/>
        <w:ind w:left="2148" w:right="767"/>
      </w:pPr>
      <w:r>
        <w:rPr>
          <w:b/>
          <w:bCs/>
        </w:rPr>
        <w:t>Après avoir reçu l’approbation du CÉR</w:t>
      </w:r>
      <w:r>
        <w:t xml:space="preserve"> – C’est le processus habituel lorsque les protocoles sont simples et que Santé Canada n’exige pas d’évaluation préalable à la soumission de la DEC. Comme le processus d’évaluation par le CÉR peut prendre plus de 30 jours, les équipes de recherche préfèrent souvent obtenir d’abord l’approbation du CÉR, puis </w:t>
      </w:r>
      <w:r w:rsidR="008D5676">
        <w:t>s</w:t>
      </w:r>
      <w:r>
        <w:t xml:space="preserve">oumettre </w:t>
      </w:r>
      <w:r w:rsidR="008D5676">
        <w:t xml:space="preserve">leur demande </w:t>
      </w:r>
      <w:r>
        <w:t xml:space="preserve">à Santé Canada pour approbation </w:t>
      </w:r>
      <w:r w:rsidR="008D5676">
        <w:t>(</w:t>
      </w:r>
      <w:r>
        <w:t>période d’examen de 30 jours</w:t>
      </w:r>
      <w:r w:rsidR="008D5676">
        <w:t>)</w:t>
      </w:r>
      <w:r>
        <w:t>. Le fait d’obtenir d’abord l’approbation du CÉR élimine le besoin de soumettre une éventuelle MDEC à Santé Canada en raison des changements demandés par le CÉR.</w:t>
      </w:r>
    </w:p>
    <w:p w14:paraId="01D4C2EF" w14:textId="39B2A2B0" w:rsidR="00AF7BAC" w:rsidRDefault="00240A22">
      <w:pPr>
        <w:pStyle w:val="ListParagraph"/>
        <w:numPr>
          <w:ilvl w:val="1"/>
          <w:numId w:val="2"/>
        </w:numPr>
        <w:tabs>
          <w:tab w:val="left" w:pos="2148"/>
          <w:tab w:val="left" w:pos="2149"/>
        </w:tabs>
        <w:spacing w:line="256" w:lineRule="auto"/>
        <w:ind w:left="2148" w:right="671"/>
      </w:pPr>
      <w:r>
        <w:rPr>
          <w:b/>
          <w:bCs/>
        </w:rPr>
        <w:t>En même temps que la demande au CÉR</w:t>
      </w:r>
      <w:r>
        <w:t xml:space="preserve"> – Bien que les deux évaluations puissent se dérouler en parallèle, tout changement demandé au protocole ou aux renseignements sur l’essai devra être effectué dans les deux demandes et soumis aux deux parties, ce qui risque d’entraîner de nombreuses versions du document et porter à confusion au moment de l’inspection de Santé Canada.</w:t>
      </w:r>
    </w:p>
    <w:p w14:paraId="5A46FE60" w14:textId="2DDD6E16" w:rsidR="00AF7BAC" w:rsidRDefault="00240A22">
      <w:pPr>
        <w:pStyle w:val="Heading5"/>
        <w:ind w:left="1334"/>
      </w:pPr>
      <w:r>
        <w:rPr>
          <w:color w:val="006FC0"/>
        </w:rPr>
        <w:t>Pour obtenir de l’aide afin de déterminer le meilleur processus pour votre essai, veuillez contacter l’administration de l’IRSM.</w:t>
      </w:r>
    </w:p>
    <w:p w14:paraId="70998184" w14:textId="77777777" w:rsidR="00AF7BAC" w:rsidRDefault="00492452">
      <w:pPr>
        <w:pStyle w:val="BodyText"/>
        <w:spacing w:before="8"/>
        <w:rPr>
          <w:b/>
          <w:i/>
          <w:sz w:val="16"/>
        </w:rPr>
      </w:pPr>
      <w:r>
        <w:pict w14:anchorId="483F83F6">
          <v:group id="_x0000_s1077" alt="" style="position:absolute;margin-left:25.3pt;margin-top:10.95pt;width:555.65pt;height:93.75pt;z-index:-251636736;mso-wrap-distance-left:0;mso-wrap-distance-right:0;mso-position-horizontal-relative:page" coordorigin="502,243" coordsize="11113,1875">
            <v:shape id="_x0000_s1078" type="#_x0000_t75" alt="" style="position:absolute;left:501;top:243;width:11113;height:1875">
              <v:imagedata r:id="rId35" o:title=""/>
            </v:shape>
            <v:shape id="_x0000_s1079" type="#_x0000_t75" alt="" style="position:absolute;left:636;top:279;width:10935;height:1712">
              <v:imagedata r:id="rId40" o:title=""/>
            </v:shape>
            <v:shape id="_x0000_s1080" alt="" style="position:absolute;left:636;top:279;width:10935;height:1712" coordorigin="636,279" coordsize="10935,1712" path="m636,565r10,-76l675,421r45,-58l777,318r68,-29l921,279r10365,l11361,289r69,29l11487,363r45,58l11561,489r10,76l11571,1706r-10,76l11532,1850r-45,58l11430,1952r-69,29l11286,1991r-10365,l845,1981r-68,-29l720,1908r-45,-58l646,1782r-10,-76l636,565xe" filled="f" strokecolor="#006fc0" strokeweight="2.25pt">
              <v:path arrowok="t"/>
            </v:shape>
            <v:shape id="_x0000_s1081" type="#_x0000_t75" alt="" style="position:absolute;left:1536;top:593;width:9735;height:1274">
              <v:imagedata r:id="rId41" o:title=""/>
            </v:shape>
            <v:shape id="_x0000_s1082" type="#_x0000_t75" alt="" style="position:absolute;left:9528;top:668;width:1124;height:1121">
              <v:imagedata r:id="rId42" o:title=""/>
            </v:shape>
            <v:shape id="_x0000_s1083" type="#_x0000_t202" alt="" style="position:absolute;left:1536;top:774;width:7845;height:1092;mso-wrap-style:square;v-text-anchor:top" filled="f" stroked="f">
              <v:textbox inset="0,0,0,0">
                <w:txbxContent>
                  <w:p w14:paraId="6FD66867" w14:textId="77777777" w:rsidR="00AF7BAC" w:rsidRDefault="00240A22">
                    <w:pPr>
                      <w:spacing w:before="75"/>
                      <w:ind w:left="290"/>
                      <w:rPr>
                        <w:b/>
                        <w:i/>
                        <w:sz w:val="40"/>
                      </w:rPr>
                    </w:pPr>
                    <w:r>
                      <w:rPr>
                        <w:b/>
                        <w:i/>
                        <w:color w:val="006FC0"/>
                        <w:sz w:val="40"/>
                      </w:rPr>
                      <w:t>Produits de santé naturels et sans ordonnance</w:t>
                    </w:r>
                  </w:p>
                </w:txbxContent>
              </v:textbox>
            </v:shape>
            <w10:wrap type="topAndBottom" anchorx="page"/>
          </v:group>
        </w:pict>
      </w:r>
    </w:p>
    <w:p w14:paraId="4C0A9139" w14:textId="77777777" w:rsidR="00AF7BAC" w:rsidRDefault="00AF7BAC">
      <w:pPr>
        <w:pStyle w:val="BodyText"/>
        <w:spacing w:before="5"/>
        <w:rPr>
          <w:b/>
          <w:i/>
          <w:sz w:val="23"/>
        </w:rPr>
      </w:pPr>
    </w:p>
    <w:p w14:paraId="4C7223AE" w14:textId="77777777" w:rsidR="00AF7BAC" w:rsidRDefault="00240A22">
      <w:pPr>
        <w:pStyle w:val="ListParagraph"/>
        <w:numPr>
          <w:ilvl w:val="0"/>
          <w:numId w:val="2"/>
        </w:numPr>
        <w:tabs>
          <w:tab w:val="left" w:pos="1440"/>
          <w:tab w:val="left" w:pos="1441"/>
        </w:tabs>
        <w:spacing w:line="259" w:lineRule="auto"/>
        <w:ind w:left="1440" w:right="513"/>
      </w:pPr>
      <w:r>
        <w:t xml:space="preserve">Les </w:t>
      </w:r>
      <w:hyperlink r:id="rId43">
        <w:r>
          <w:rPr>
            <w:color w:val="0462C1"/>
            <w:u w:val="single"/>
          </w:rPr>
          <w:t>formulaires de demande d’essai clinique de la DPSNSO</w:t>
        </w:r>
      </w:hyperlink>
      <w:r>
        <w:t xml:space="preserve"> sont différents de ceux soumis à la DPT pour les essais de médicaments. En préparant votre soumission, il est important de vous assurer de remplir les bons formulaires.</w:t>
      </w:r>
    </w:p>
    <w:p w14:paraId="51CF9A3C" w14:textId="77777777" w:rsidR="00AF7BAC" w:rsidRDefault="00240A22">
      <w:pPr>
        <w:pStyle w:val="ListParagraph"/>
        <w:numPr>
          <w:ilvl w:val="0"/>
          <w:numId w:val="2"/>
        </w:numPr>
        <w:tabs>
          <w:tab w:val="left" w:pos="1440"/>
          <w:tab w:val="left" w:pos="1441"/>
        </w:tabs>
        <w:spacing w:before="1" w:line="256" w:lineRule="auto"/>
        <w:ind w:left="1440" w:right="847"/>
      </w:pPr>
      <w:r>
        <w:t xml:space="preserve">La DEC doit être soumise sur papier en format </w:t>
      </w:r>
      <w:r>
        <w:rPr>
          <w:i/>
          <w:iCs/>
        </w:rPr>
        <w:t>Common Technical Document</w:t>
      </w:r>
      <w:r>
        <w:t xml:space="preserve"> (CTD). Conformément à la Lignes directrice, certains éléments doivent également être soumis en format électronique.</w:t>
      </w:r>
    </w:p>
    <w:p w14:paraId="245CC957" w14:textId="77777777" w:rsidR="00AF7BAC" w:rsidRDefault="00240A22">
      <w:pPr>
        <w:pStyle w:val="ListParagraph"/>
        <w:numPr>
          <w:ilvl w:val="0"/>
          <w:numId w:val="2"/>
        </w:numPr>
        <w:tabs>
          <w:tab w:val="left" w:pos="1440"/>
          <w:tab w:val="left" w:pos="1441"/>
        </w:tabs>
        <w:spacing w:before="4"/>
        <w:ind w:left="1440"/>
      </w:pPr>
      <w:r>
        <w:t>Vous devez soumettre deux copies papier et deux copies électroniques de votre demande.</w:t>
      </w:r>
    </w:p>
    <w:p w14:paraId="16A4C468" w14:textId="77777777" w:rsidR="00AF7BAC" w:rsidRDefault="00240A22">
      <w:pPr>
        <w:pStyle w:val="ListParagraph"/>
        <w:numPr>
          <w:ilvl w:val="0"/>
          <w:numId w:val="2"/>
        </w:numPr>
        <w:tabs>
          <w:tab w:val="left" w:pos="1440"/>
          <w:tab w:val="left" w:pos="1441"/>
        </w:tabs>
        <w:spacing w:before="22"/>
        <w:ind w:left="1440"/>
      </w:pPr>
      <w:r>
        <w:rPr>
          <w:b/>
          <w:bCs/>
        </w:rPr>
        <w:t>L’approbation du CÉR</w:t>
      </w:r>
      <w:r>
        <w:t xml:space="preserve"> doit accompagner votre demande soumise à la DPSNSO.</w:t>
      </w:r>
    </w:p>
    <w:p w14:paraId="4A0F8D4B" w14:textId="6CEB91C6" w:rsidR="00AF7BAC" w:rsidRDefault="00240A22">
      <w:pPr>
        <w:pStyle w:val="ListParagraph"/>
        <w:numPr>
          <w:ilvl w:val="0"/>
          <w:numId w:val="2"/>
        </w:numPr>
        <w:tabs>
          <w:tab w:val="left" w:pos="1440"/>
          <w:tab w:val="left" w:pos="1441"/>
        </w:tabs>
        <w:spacing w:before="20" w:line="259" w:lineRule="auto"/>
        <w:ind w:left="1440" w:right="606"/>
      </w:pPr>
      <w:r>
        <w:t xml:space="preserve">Le formulaire d’information sur le lieu de l’essai clinique (ILEC) et le formulaire d’engagement du chercheur qualifié (ECQ) doivent être soumis </w:t>
      </w:r>
      <w:r>
        <w:rPr>
          <w:b/>
          <w:bCs/>
          <w:i/>
          <w:iCs/>
        </w:rPr>
        <w:t>avec</w:t>
      </w:r>
      <w:r>
        <w:t xml:space="preserve"> la demande. Si les renseignements nécessaires pour remplir ces formulaires ne sont pas disponibles au moment de soumettre la demande, ils doivent être soumis avant le début de l’essai sur le site. Conservez une copie de ces formulaire</w:t>
      </w:r>
      <w:r w:rsidR="00EA259F">
        <w:t>s</w:t>
      </w:r>
      <w:r>
        <w:t xml:space="preserve"> dans le dossier de l’étude.</w:t>
      </w:r>
    </w:p>
    <w:p w14:paraId="51AC42F9" w14:textId="77777777" w:rsidR="00AF7BAC" w:rsidRDefault="00240A22">
      <w:pPr>
        <w:pStyle w:val="ListParagraph"/>
        <w:numPr>
          <w:ilvl w:val="0"/>
          <w:numId w:val="2"/>
        </w:numPr>
        <w:tabs>
          <w:tab w:val="left" w:pos="1440"/>
          <w:tab w:val="left" w:pos="1441"/>
        </w:tabs>
        <w:spacing w:before="1" w:line="259" w:lineRule="auto"/>
        <w:ind w:left="1440" w:right="618"/>
      </w:pPr>
      <w:r>
        <w:t xml:space="preserve">Si l’étude utilise une combinaison de produit pharmaceutique et de produit de santé naturel et que le produit pharmaceutique est utilisé en dehors de l’autorisation de mise en marché, la DEC doit être soumise à la </w:t>
      </w:r>
      <w:r>
        <w:rPr>
          <w:b/>
          <w:bCs/>
        </w:rPr>
        <w:t>Direction des produits thérapeutiques (DPT)</w:t>
      </w:r>
      <w:r>
        <w:t xml:space="preserve"> et non à la Direction des produits de santé naturels et sans ordonnance (DPSNSO).</w:t>
      </w:r>
    </w:p>
    <w:p w14:paraId="79874947" w14:textId="3CD40198" w:rsidR="00AF7BAC" w:rsidRDefault="00240A22" w:rsidP="00EA259F">
      <w:pPr>
        <w:pStyle w:val="ListParagraph"/>
        <w:numPr>
          <w:ilvl w:val="0"/>
          <w:numId w:val="2"/>
        </w:numPr>
        <w:tabs>
          <w:tab w:val="left" w:pos="1440"/>
          <w:tab w:val="left" w:pos="1441"/>
        </w:tabs>
        <w:spacing w:line="279" w:lineRule="exact"/>
        <w:ind w:left="1440"/>
      </w:pPr>
      <w:r>
        <w:t xml:space="preserve">Si un produit de santé naturel contient un ingrédient médicinal exigeant une ordonnance, la DEC doit être soumise à la </w:t>
      </w:r>
      <w:r>
        <w:rPr>
          <w:b/>
          <w:bCs/>
        </w:rPr>
        <w:t>Direction des produits thérapeutiques (DPT)</w:t>
      </w:r>
      <w:r>
        <w:t xml:space="preserve"> et non à la Direction des produits de santé naturels et sans ordonnance (DPSNSO).</w:t>
      </w:r>
    </w:p>
    <w:p w14:paraId="5613288B" w14:textId="77777777" w:rsidR="00AF7BAC" w:rsidRDefault="00240A22">
      <w:pPr>
        <w:pStyle w:val="ListParagraph"/>
        <w:numPr>
          <w:ilvl w:val="0"/>
          <w:numId w:val="2"/>
        </w:numPr>
        <w:tabs>
          <w:tab w:val="left" w:pos="1440"/>
          <w:tab w:val="left" w:pos="1441"/>
        </w:tabs>
        <w:spacing w:before="22"/>
        <w:ind w:left="1440"/>
      </w:pPr>
      <w:r>
        <w:t>Les demandes d’éclaircissements adressées par Santé Canada doivent être traitées dans un délai de 30 jours.</w:t>
      </w:r>
    </w:p>
    <w:p w14:paraId="38075129" w14:textId="6C7B267F" w:rsidR="00AF7BAC" w:rsidRDefault="00240A22">
      <w:pPr>
        <w:pStyle w:val="ListParagraph"/>
        <w:numPr>
          <w:ilvl w:val="0"/>
          <w:numId w:val="2"/>
        </w:numPr>
        <w:tabs>
          <w:tab w:val="left" w:pos="1440"/>
          <w:tab w:val="left" w:pos="1441"/>
        </w:tabs>
        <w:spacing w:before="23"/>
        <w:ind w:left="1440"/>
      </w:pPr>
      <w:r>
        <w:t>Un avis d’autorisation sera émis au promoteur une fois la demande approuvée.</w:t>
      </w:r>
    </w:p>
    <w:p w14:paraId="4580297C" w14:textId="77777777" w:rsidR="00EA259F" w:rsidRDefault="00EA259F" w:rsidP="00DF5AB6">
      <w:pPr>
        <w:tabs>
          <w:tab w:val="left" w:pos="1440"/>
          <w:tab w:val="left" w:pos="1441"/>
        </w:tabs>
        <w:spacing w:before="23"/>
      </w:pPr>
    </w:p>
    <w:p w14:paraId="0BC1649E" w14:textId="3F4A089D" w:rsidR="00AF7BAC" w:rsidRDefault="00240A22">
      <w:pPr>
        <w:pStyle w:val="ListParagraph"/>
        <w:numPr>
          <w:ilvl w:val="0"/>
          <w:numId w:val="2"/>
        </w:numPr>
        <w:tabs>
          <w:tab w:val="left" w:pos="1440"/>
          <w:tab w:val="left" w:pos="1441"/>
        </w:tabs>
        <w:spacing w:before="19" w:line="259" w:lineRule="auto"/>
        <w:ind w:left="1440" w:right="558"/>
      </w:pPr>
      <w:r>
        <w:t xml:space="preserve">Contrairement aux essais de médicaments, pour les études menées en vertu d’un avis d’autorisation et utilisant des produits de santé naturels ou sans ordonnance, </w:t>
      </w:r>
      <w:r>
        <w:rPr>
          <w:b/>
          <w:bCs/>
          <w:i/>
          <w:iCs/>
        </w:rPr>
        <w:t xml:space="preserve">toutes les réactions indésirables graves </w:t>
      </w:r>
      <w:r>
        <w:rPr>
          <w:b/>
          <w:bCs/>
          <w:i/>
          <w:iCs/>
          <w:u w:val="single"/>
        </w:rPr>
        <w:t>prévues ou imprévues</w:t>
      </w:r>
      <w:r>
        <w:t xml:space="preserve"> doivent être signalées à Santé Canada, conformément au Règlement sur les produits de santé naturels de Santé Canada. Si les réactions indésirables graves </w:t>
      </w:r>
      <w:r>
        <w:rPr>
          <w:u w:val="single"/>
        </w:rPr>
        <w:t>prévues</w:t>
      </w:r>
      <w:r>
        <w:t xml:space="preserve"> ne seront pas répertoriées et déclarées, vous devez l’indiquer et le justifier dans le protocole. Les réactions indésirables graves prévues sont énumérées dans la monographie du produit/brochure (notice) du chercheur.</w:t>
      </w:r>
    </w:p>
    <w:p w14:paraId="1639394B" w14:textId="4480B722" w:rsidR="008E68E9" w:rsidRDefault="008E68E9" w:rsidP="008E68E9">
      <w:pPr>
        <w:tabs>
          <w:tab w:val="left" w:pos="1440"/>
          <w:tab w:val="left" w:pos="1441"/>
        </w:tabs>
        <w:spacing w:before="19" w:line="259" w:lineRule="auto"/>
        <w:ind w:right="558"/>
      </w:pPr>
    </w:p>
    <w:p w14:paraId="7E5EA3DE" w14:textId="77777777" w:rsidR="00AF7BAC" w:rsidRDefault="00492452">
      <w:pPr>
        <w:pStyle w:val="BodyText"/>
        <w:ind w:left="556"/>
        <w:rPr>
          <w:sz w:val="20"/>
        </w:rPr>
      </w:pPr>
      <w:r>
        <w:rPr>
          <w:sz w:val="20"/>
        </w:rPr>
      </w:r>
      <w:r>
        <w:rPr>
          <w:sz w:val="20"/>
        </w:rPr>
        <w:pict w14:anchorId="37EE9869">
          <v:group id="_x0000_s1069" alt="" style="width:555.65pt;height:93.75pt;mso-position-horizontal-relative:char;mso-position-vertical-relative:line" coordsize="11113,1875">
            <v:shape id="_x0000_s1070" type="#_x0000_t75" alt="" style="position:absolute;width:11113;height:1875">
              <v:imagedata r:id="rId35" o:title=""/>
            </v:shape>
            <v:shape id="_x0000_s1071" type="#_x0000_t75" alt="" style="position:absolute;left:134;top:36;width:10935;height:1712">
              <v:imagedata r:id="rId44" o:title=""/>
            </v:shape>
            <v:shape id="_x0000_s1072" alt="" style="position:absolute;left:134;top:36;width:10935;height:1712" coordorigin="134,36" coordsize="10935,1712" path="m134,322r11,-76l173,178r45,-58l276,75,344,46,420,36r10364,l10860,46r68,29l10986,120r44,58l11059,246r10,76l11069,1463r-10,76l11030,1607r-44,58l10928,1709r-68,29l10784,1748r-10364,l344,1738r-68,-29l218,1665r-45,-58l145,1539r-11,-76l134,322xe" filled="f" strokecolor="#006fc0" strokeweight="2.25pt">
              <v:path arrowok="t"/>
            </v:shape>
            <v:shape id="_x0000_s1073" type="#_x0000_t75" alt="" style="position:absolute;left:284;top:531;width:7920;height:1093">
              <v:imagedata r:id="rId45" o:title=""/>
            </v:shape>
            <v:shape id="_x0000_s1074" type="#_x0000_t75" alt="" style="position:absolute;left:8352;top:489;width:934;height:934">
              <v:imagedata r:id="rId46" o:title=""/>
            </v:shape>
            <v:shape id="_x0000_s1075" type="#_x0000_t75" alt="" style="position:absolute;left:9763;top:489;width:934;height:934">
              <v:imagedata r:id="rId47" o:title=""/>
            </v:shape>
            <v:shape id="_x0000_s1076" type="#_x0000_t202" alt="" style="position:absolute;left:284;top:531;width:7920;height:1093;mso-wrap-style:square;v-text-anchor:top" filled="f" stroked="f">
              <v:textbox inset="0,0,0,0">
                <w:txbxContent>
                  <w:p w14:paraId="5A587707" w14:textId="77777777" w:rsidR="00AF7BAC" w:rsidRDefault="00240A22">
                    <w:pPr>
                      <w:spacing w:before="77"/>
                      <w:ind w:left="200"/>
                      <w:rPr>
                        <w:b/>
                        <w:i/>
                        <w:sz w:val="40"/>
                      </w:rPr>
                    </w:pPr>
                    <w:r>
                      <w:rPr>
                        <w:b/>
                        <w:i/>
                        <w:color w:val="006FC0"/>
                        <w:sz w:val="40"/>
                      </w:rPr>
                      <w:t>Produits radiopharmaceutiques et instruments médicaux</w:t>
                    </w:r>
                  </w:p>
                </w:txbxContent>
              </v:textbox>
            </v:shape>
            <w10:anchorlock/>
          </v:group>
        </w:pict>
      </w:r>
    </w:p>
    <w:p w14:paraId="0FC17303" w14:textId="33EB0DE0" w:rsidR="00AF7BAC" w:rsidRDefault="00240A22">
      <w:pPr>
        <w:pStyle w:val="ListParagraph"/>
        <w:numPr>
          <w:ilvl w:val="0"/>
          <w:numId w:val="2"/>
        </w:numPr>
        <w:tabs>
          <w:tab w:val="left" w:pos="1440"/>
          <w:tab w:val="left" w:pos="1441"/>
        </w:tabs>
        <w:spacing w:before="63" w:line="259" w:lineRule="auto"/>
        <w:ind w:left="1440" w:right="609"/>
      </w:pPr>
      <w:r>
        <w:t xml:space="preserve"> Pour les directives concernant les essais visant des produits radiopharmaceutiques ou des dispositifs ou instruments médicaux, veuillez communiquer avec la gestionnaire de soutien à la recherche clinique de l’IRSM pour obtenir des conseils.</w:t>
      </w:r>
    </w:p>
    <w:p w14:paraId="6262CDCF" w14:textId="5B801C0C" w:rsidR="00AF7BAC" w:rsidRDefault="00492452">
      <w:pPr>
        <w:pStyle w:val="BodyText"/>
      </w:pPr>
      <w:r>
        <w:pict w14:anchorId="28B66B73">
          <v:group id="_x0000_s1064" alt="" style="position:absolute;margin-left:-5.35pt;margin-top:8.35pt;width:175.25pt;height:75.05pt;z-index:251683840;mso-position-horizontal-relative:page" coordorigin=",999" coordsize="3401,1501">
            <v:shape id="_x0000_s1065" type="#_x0000_t75" alt="" style="position:absolute;top:998;width:3401;height:1501">
              <v:imagedata r:id="rId48" o:title=""/>
            </v:shape>
            <v:shape id="_x0000_s1066" type="#_x0000_t75" alt="" style="position:absolute;top:1054;width:3080;height:1385">
              <v:imagedata r:id="rId49" o:title=""/>
            </v:shape>
            <v:shape id="_x0000_s1067" type="#_x0000_t75" alt="" style="position:absolute;left:28;top:1046;width:3300;height:1350">
              <v:imagedata r:id="rId50" o:title=""/>
            </v:shape>
            <v:shape id="_x0000_s1068" type="#_x0000_t202" alt="" style="position:absolute;top:998;width:3401;height:1501;mso-wrap-style:square;v-text-anchor:top" filled="f" stroked="f">
              <v:textbox inset="0,0,0,0">
                <w:txbxContent>
                  <w:p w14:paraId="0AEC7820" w14:textId="77777777" w:rsidR="00AF7BAC" w:rsidRDefault="00AF7BAC">
                    <w:pPr>
                      <w:spacing w:before="6"/>
                      <w:rPr>
                        <w:sz w:val="33"/>
                      </w:rPr>
                    </w:pPr>
                  </w:p>
                  <w:p w14:paraId="2CC92291" w14:textId="77777777" w:rsidR="00AF7BAC" w:rsidRDefault="00240A22">
                    <w:pPr>
                      <w:ind w:left="463"/>
                      <w:rPr>
                        <w:sz w:val="36"/>
                      </w:rPr>
                    </w:pPr>
                    <w:r>
                      <w:rPr>
                        <w:color w:val="FFFFFF"/>
                        <w:sz w:val="36"/>
                      </w:rPr>
                      <w:t>Bon à savoir</w:t>
                    </w:r>
                  </w:p>
                </w:txbxContent>
              </v:textbox>
            </v:shape>
            <w10:wrap anchorx="page"/>
          </v:group>
        </w:pict>
      </w:r>
    </w:p>
    <w:p w14:paraId="037E68D4" w14:textId="77777777" w:rsidR="00AF7BAC" w:rsidRDefault="00AF7BAC">
      <w:pPr>
        <w:pStyle w:val="BodyText"/>
        <w:spacing w:before="3"/>
        <w:rPr>
          <w:sz w:val="27"/>
        </w:rPr>
      </w:pPr>
    </w:p>
    <w:p w14:paraId="23882C56" w14:textId="47D3A459" w:rsidR="00AF7BAC" w:rsidRDefault="00240A22" w:rsidP="00DF5AB6">
      <w:pPr>
        <w:pStyle w:val="ListParagraph"/>
        <w:numPr>
          <w:ilvl w:val="1"/>
          <w:numId w:val="2"/>
        </w:numPr>
        <w:tabs>
          <w:tab w:val="left" w:pos="3982"/>
          <w:tab w:val="left" w:pos="3983"/>
        </w:tabs>
        <w:spacing w:line="259" w:lineRule="auto"/>
        <w:ind w:left="3982" w:right="356" w:hanging="361"/>
      </w:pPr>
      <w:r>
        <w:rPr>
          <w:b/>
          <w:i/>
        </w:rPr>
        <w:t xml:space="preserve">Processus de Santé Canada pour la consultation préalable au dépôt d’une DEC : </w:t>
      </w:r>
      <w:r>
        <w:t xml:space="preserve">Santé Canada invite les promoteurs à demander une réunion de consultation avant de déposer une DEC. Ce type de rencontre peut être particulièrement utile dans le cas des nouvelles substances actives ou des demandes qui mettent en cause des questions complexes dont Santé Canada n’a peut-être jamais eu à traiter (p. ex. : recherches sur les cellules souches). Les réunions de consultation donnent au promoteur l’occasion de présenter des données pertinentes, de discuter de ses préoccupations et de régler des questions avant de soumettre la demande. Vous trouverez des orientations sur les réunions de consultation préalable au dépôt d’une DEC </w:t>
      </w:r>
      <w:hyperlink r:id="rId51">
        <w:r>
          <w:rPr>
            <w:color w:val="0462C1"/>
            <w:u w:val="single" w:color="0462C1"/>
          </w:rPr>
          <w:t>ici</w:t>
        </w:r>
      </w:hyperlink>
      <w:r>
        <w:t>. Il est important de faire participer l’administration de l’IRSM à ces réunions.</w:t>
      </w:r>
    </w:p>
    <w:p w14:paraId="0770F138" w14:textId="59AE69DE" w:rsidR="00AF7BAC" w:rsidRDefault="00492452">
      <w:pPr>
        <w:pStyle w:val="BodyText"/>
      </w:pPr>
      <w:r>
        <w:pict w14:anchorId="613053B2">
          <v:group id="_x0000_s1059" alt="" style="position:absolute;margin-left:-3.3pt;margin-top:8.8pt;width:172.65pt;height:86.25pt;z-index:251685888;mso-position-horizontal-relative:page" coordorigin=",2637" coordsize="3401,1501">
            <v:shape id="_x0000_s1060" type="#_x0000_t75" alt="" style="position:absolute;top:2637;width:3401;height:1501">
              <v:imagedata r:id="rId48" o:title=""/>
            </v:shape>
            <v:shape id="_x0000_s1061" type="#_x0000_t75" alt="" style="position:absolute;top:2692;width:3080;height:1385">
              <v:imagedata r:id="rId52" o:title=""/>
            </v:shape>
            <v:shape id="_x0000_s1062" type="#_x0000_t75" alt="" style="position:absolute;left:28;top:2685;width:3300;height:1350">
              <v:imagedata r:id="rId53" o:title=""/>
            </v:shape>
            <v:shape id="_x0000_s1063" type="#_x0000_t202" alt="" style="position:absolute;top:2637;width:3401;height:1501;mso-wrap-style:square;v-text-anchor:top" filled="f" stroked="f">
              <v:textbox inset="0,0,0,0">
                <w:txbxContent>
                  <w:p w14:paraId="1C412B90" w14:textId="2745A27F" w:rsidR="00AF7BAC" w:rsidRDefault="00181A42" w:rsidP="00181A42">
                    <w:pPr>
                      <w:spacing w:before="172" w:line="256" w:lineRule="auto"/>
                      <w:ind w:left="426" w:right="841"/>
                      <w:jc w:val="both"/>
                      <w:rPr>
                        <w:sz w:val="36"/>
                      </w:rPr>
                    </w:pPr>
                    <w:r>
                      <w:rPr>
                        <w:color w:val="FFFFFF"/>
                        <w:sz w:val="36"/>
                      </w:rPr>
                      <w:t>Autres exigences</w:t>
                    </w:r>
                  </w:p>
                </w:txbxContent>
              </v:textbox>
            </v:shape>
            <w10:wrap anchorx="page"/>
          </v:group>
        </w:pict>
      </w:r>
    </w:p>
    <w:p w14:paraId="12E2A785" w14:textId="77777777" w:rsidR="00AF7BAC" w:rsidRDefault="00AF7BAC">
      <w:pPr>
        <w:pStyle w:val="BodyText"/>
        <w:spacing w:before="1"/>
        <w:rPr>
          <w:sz w:val="27"/>
        </w:rPr>
      </w:pPr>
    </w:p>
    <w:p w14:paraId="1C41594F" w14:textId="77777777" w:rsidR="00AF7BAC" w:rsidRDefault="00240A22">
      <w:pPr>
        <w:pStyle w:val="ListParagraph"/>
        <w:numPr>
          <w:ilvl w:val="0"/>
          <w:numId w:val="1"/>
        </w:numPr>
        <w:tabs>
          <w:tab w:val="left" w:pos="3914"/>
          <w:tab w:val="left" w:pos="3915"/>
        </w:tabs>
        <w:spacing w:line="259" w:lineRule="auto"/>
        <w:ind w:right="884"/>
      </w:pPr>
      <w:r>
        <w:rPr>
          <w:b/>
          <w:i/>
        </w:rPr>
        <w:t xml:space="preserve">Exigences liées à la publication : </w:t>
      </w:r>
      <w:r>
        <w:t xml:space="preserve">Le personnel de recherche doit connaître les meilleures pratiques en matière de publication. Cela permet d’assurer que les documents de recherche répondent aux normes de qualité des rapports. Les directives relatives à la paternité des articles et la connaissance des meilleures pratiques de publication doivent être prises en compte </w:t>
      </w:r>
      <w:r w:rsidRPr="00F370A3">
        <w:rPr>
          <w:u w:val="single"/>
        </w:rPr>
        <w:t>dès le début</w:t>
      </w:r>
      <w:r>
        <w:t xml:space="preserve"> d’une étude ou d’un essai de recherche clinique.</w:t>
      </w:r>
    </w:p>
    <w:p w14:paraId="120BE3D3" w14:textId="1429E2F6" w:rsidR="00AF7BAC" w:rsidRDefault="00240A22">
      <w:pPr>
        <w:pStyle w:val="ListParagraph"/>
        <w:numPr>
          <w:ilvl w:val="0"/>
          <w:numId w:val="1"/>
        </w:numPr>
        <w:tabs>
          <w:tab w:val="left" w:pos="3914"/>
          <w:tab w:val="left" w:pos="3915"/>
        </w:tabs>
        <w:spacing w:line="259" w:lineRule="auto"/>
        <w:ind w:right="480"/>
      </w:pPr>
      <w:r>
        <w:rPr>
          <w:b/>
          <w:i/>
        </w:rPr>
        <w:t xml:space="preserve">Comité de surveillance des données et de la sécurité (CSDS) : </w:t>
      </w:r>
      <w:r>
        <w:t>Toute recherche interventionnelle doit être évaluée pour déterminer si elle doit être soumise à l’évaluation d’un comité de surveillance des données et de la sécurité (CSDS). Le promoteur de l’essai clinique (chercheur principal) est responsable d’assurer la surveillance de l’innocuité</w:t>
      </w:r>
      <w:r w:rsidR="00D35B18">
        <w:t>/sécurité</w:t>
      </w:r>
      <w:r>
        <w:t xml:space="preserve"> de la recherche.</w:t>
      </w:r>
    </w:p>
    <w:p w14:paraId="6D2FCB00" w14:textId="3632BE2E" w:rsidR="00AF7BAC" w:rsidRDefault="00240A22">
      <w:pPr>
        <w:pStyle w:val="ListParagraph"/>
        <w:numPr>
          <w:ilvl w:val="0"/>
          <w:numId w:val="1"/>
        </w:numPr>
        <w:tabs>
          <w:tab w:val="left" w:pos="3915"/>
        </w:tabs>
        <w:spacing w:line="259" w:lineRule="auto"/>
        <w:ind w:right="855"/>
        <w:jc w:val="both"/>
      </w:pPr>
      <w:r>
        <w:rPr>
          <w:b/>
          <w:i/>
        </w:rPr>
        <w:t xml:space="preserve">Surveillance de l’essai clinique : </w:t>
      </w:r>
      <w:r>
        <w:t>Conformément à l’article 5.18 des Bonnes pratiques cliniques de la CIH, il incombe au promoteur de veiller à ce que les essais soient surveillés adéquatement. Un plan de surveillance doit être élaboré et soumis à la gestionnaire de soutien à la recherche clinique de l’IRSM pour évaluation et approbation.</w:t>
      </w:r>
    </w:p>
    <w:p w14:paraId="5D8BA56D" w14:textId="77777777" w:rsidR="00AF7BAC" w:rsidRDefault="00240A22">
      <w:pPr>
        <w:pStyle w:val="ListParagraph"/>
        <w:numPr>
          <w:ilvl w:val="0"/>
          <w:numId w:val="1"/>
        </w:numPr>
        <w:tabs>
          <w:tab w:val="left" w:pos="3841"/>
        </w:tabs>
        <w:spacing w:line="259" w:lineRule="auto"/>
        <w:ind w:left="3840" w:right="565" w:hanging="286"/>
      </w:pPr>
      <w:r>
        <w:rPr>
          <w:b/>
          <w:i/>
        </w:rPr>
        <w:t xml:space="preserve">Enregistrement de l’essai : </w:t>
      </w:r>
      <w:r>
        <w:t>Pour se conformer à l’Énoncé de politique des trois Conseils (EPTC), tous les essais cliniques doivent être enregistrés dans un registre public reconnu par l’Organisation mondiale de la Santé (OMS) ou l’International Committee of Medical Journal Editors (ICMJE).</w:t>
      </w:r>
    </w:p>
    <w:p w14:paraId="51562C20" w14:textId="77777777" w:rsidR="00AF7BAC" w:rsidRDefault="00AF7BAC">
      <w:pPr>
        <w:spacing w:line="259" w:lineRule="auto"/>
        <w:sectPr w:rsidR="00AF7BAC">
          <w:pgSz w:w="12240" w:h="15840"/>
          <w:pgMar w:top="240" w:right="260" w:bottom="280" w:left="0" w:header="720" w:footer="720" w:gutter="0"/>
          <w:cols w:space="720"/>
        </w:sectPr>
      </w:pPr>
    </w:p>
    <w:p w14:paraId="71E7A62F" w14:textId="71C41E79" w:rsidR="00AF7BAC" w:rsidRDefault="00492452">
      <w:pPr>
        <w:pStyle w:val="BodyText"/>
        <w:spacing w:before="2"/>
        <w:rPr>
          <w:sz w:val="23"/>
        </w:rPr>
      </w:pPr>
      <w:r>
        <w:lastRenderedPageBreak/>
        <w:pict w14:anchorId="41CB6630">
          <v:group id="_x0000_s1054" alt="" style="position:absolute;margin-left:0;margin-top:2.25pt;width:180.65pt;height:75.05pt;z-index:251689984;mso-position-horizontal-relative:page" coordorigin=",-291" coordsize="3401,1501">
            <v:shape id="_x0000_s1055" type="#_x0000_t75" alt="" style="position:absolute;top:-292;width:3401;height:1501">
              <v:imagedata r:id="rId48" o:title=""/>
            </v:shape>
            <v:shape id="_x0000_s1056" type="#_x0000_t75" alt="" style="position:absolute;top:-234;width:3080;height:1385">
              <v:imagedata r:id="rId54" o:title=""/>
            </v:shape>
            <v:shape id="_x0000_s1057" type="#_x0000_t75" alt="" style="position:absolute;left:28;top:-244;width:3300;height:1350">
              <v:imagedata r:id="rId55" o:title=""/>
            </v:shape>
            <v:shape id="_x0000_s1058" type="#_x0000_t202" alt="" style="position:absolute;top:-292;width:3401;height:1501;mso-wrap-style:square;v-text-anchor:top" filled="f" stroked="f">
              <v:textbox inset="0,0,0,0">
                <w:txbxContent>
                  <w:p w14:paraId="6F2C5861" w14:textId="77777777" w:rsidR="00AF7BAC" w:rsidRDefault="00AF7BAC">
                    <w:pPr>
                      <w:spacing w:before="8"/>
                      <w:rPr>
                        <w:sz w:val="33"/>
                      </w:rPr>
                    </w:pPr>
                  </w:p>
                  <w:p w14:paraId="13476CC3" w14:textId="3DE6B553" w:rsidR="00AF7BAC" w:rsidRDefault="00937BCC" w:rsidP="00F370A3">
                    <w:pPr>
                      <w:ind w:left="624" w:hanging="482"/>
                      <w:rPr>
                        <w:sz w:val="36"/>
                      </w:rPr>
                    </w:pPr>
                    <w:r>
                      <w:rPr>
                        <w:color w:val="FFFFFF"/>
                        <w:sz w:val="36"/>
                      </w:rPr>
                      <w:t xml:space="preserve">  </w:t>
                    </w:r>
                    <w:r w:rsidR="00240A22">
                      <w:rPr>
                        <w:color w:val="FFFFFF"/>
                        <w:sz w:val="36"/>
                      </w:rPr>
                      <w:t>Processus de DEC</w:t>
                    </w:r>
                  </w:p>
                </w:txbxContent>
              </v:textbox>
            </v:shape>
            <w10:wrap anchorx="page"/>
          </v:group>
        </w:pict>
      </w:r>
    </w:p>
    <w:p w14:paraId="5EDF3BC1" w14:textId="25F8EEFC" w:rsidR="00AF7BAC" w:rsidRDefault="00937BCC">
      <w:pPr>
        <w:pStyle w:val="BodyText"/>
        <w:spacing w:before="56" w:line="256" w:lineRule="auto"/>
        <w:ind w:left="3600" w:right="763"/>
      </w:pPr>
      <w:r>
        <w:t xml:space="preserve">    </w:t>
      </w:r>
      <w:r w:rsidR="00240A22">
        <w:t>Le diagramme suivant illustre le processus de soumission d’une demande d’essai</w:t>
      </w:r>
      <w:r>
        <w:br/>
        <w:t xml:space="preserve">   </w:t>
      </w:r>
      <w:r w:rsidR="00240A22">
        <w:t xml:space="preserve"> clinique </w:t>
      </w:r>
      <w:r w:rsidR="005547D7">
        <w:t xml:space="preserve">(DEC) </w:t>
      </w:r>
      <w:r w:rsidR="00240A22">
        <w:t>parrainé</w:t>
      </w:r>
      <w:r w:rsidR="005547D7">
        <w:t>e</w:t>
      </w:r>
      <w:r w:rsidR="00240A22">
        <w:t xml:space="preserve"> par l’IRSM, initié</w:t>
      </w:r>
      <w:r w:rsidR="005547D7">
        <w:t>e</w:t>
      </w:r>
      <w:r w:rsidR="00240A22">
        <w:t xml:space="preserve"> par un chercheur et réglementé</w:t>
      </w:r>
      <w:r w:rsidR="005547D7">
        <w:t>e</w:t>
      </w:r>
      <w:r w:rsidR="00240A22">
        <w:t xml:space="preserve"> par </w:t>
      </w:r>
      <w:r>
        <w:br/>
        <w:t xml:space="preserve">    </w:t>
      </w:r>
      <w:r w:rsidR="00240A22">
        <w:t>Santé Canada.</w:t>
      </w:r>
    </w:p>
    <w:p w14:paraId="35043D7F" w14:textId="7648DFED" w:rsidR="00AF7BAC" w:rsidRDefault="00AF7BAC">
      <w:pPr>
        <w:pStyle w:val="BodyText"/>
        <w:rPr>
          <w:sz w:val="20"/>
        </w:rPr>
      </w:pPr>
    </w:p>
    <w:p w14:paraId="7EB7F791" w14:textId="77777777" w:rsidR="00AF7BAC" w:rsidRDefault="00AF7BAC">
      <w:pPr>
        <w:pStyle w:val="BodyText"/>
        <w:rPr>
          <w:sz w:val="20"/>
        </w:rPr>
      </w:pPr>
    </w:p>
    <w:p w14:paraId="72A16BFC" w14:textId="044D6A3B" w:rsidR="00AF7BAC" w:rsidRDefault="00AF7BAC">
      <w:pPr>
        <w:pStyle w:val="BodyText"/>
        <w:rPr>
          <w:sz w:val="20"/>
        </w:rPr>
      </w:pPr>
    </w:p>
    <w:p w14:paraId="35B89B8F" w14:textId="21B5C86D" w:rsidR="00AF7BAC" w:rsidRDefault="00492452">
      <w:pPr>
        <w:pStyle w:val="BodyText"/>
        <w:rPr>
          <w:sz w:val="20"/>
        </w:rPr>
      </w:pPr>
      <w:r>
        <w:pict w14:anchorId="57A0CEDC">
          <v:group id="_x0000_s1031" alt="" style="position:absolute;margin-left:10pt;margin-top:3.75pt;width:591.3pt;height:369.05pt;z-index:251712512;mso-position-horizontal-relative:page" coordorigin="199,1357" coordsize="11826,6690">
            <v:shape id="_x0000_s1032" type="#_x0000_t75" alt="" style="position:absolute;left:199;top:1357;width:11826;height:6690">
              <v:imagedata r:id="rId56" o:title=""/>
            </v:shape>
            <v:shape id="_x0000_s1033" type="#_x0000_t202" alt="" style="position:absolute;left:676;top:1830;width:1394;height:221;mso-wrap-style:square;v-text-anchor:top" filled="f" stroked="f">
              <v:textbox inset="0,0,0,0">
                <w:txbxContent>
                  <w:p w14:paraId="27F151A5" w14:textId="77777777" w:rsidR="00AF7BAC" w:rsidRDefault="00240A22" w:rsidP="00DF6D8C">
                    <w:pPr>
                      <w:spacing w:line="221" w:lineRule="exact"/>
                      <w:jc w:val="center"/>
                    </w:pPr>
                    <w:r>
                      <w:t>Obtenir le financement</w:t>
                    </w:r>
                  </w:p>
                </w:txbxContent>
              </v:textbox>
            </v:shape>
            <v:shape id="_x0000_s1034" type="#_x0000_t202" alt="" style="position:absolute;left:3041;top:1662;width:1703;height:516;mso-wrap-style:square;v-text-anchor:top" filled="f" stroked="f">
              <v:textbox inset="0,0,0,0">
                <w:txbxContent>
                  <w:p w14:paraId="7F4D914F" w14:textId="77777777" w:rsidR="00AF7BAC" w:rsidRDefault="00240A22">
                    <w:pPr>
                      <w:spacing w:line="225" w:lineRule="exact"/>
                      <w:ind w:right="18"/>
                      <w:jc w:val="center"/>
                    </w:pPr>
                    <w:r>
                      <w:t>Ouverture du recrutement</w:t>
                    </w:r>
                  </w:p>
                  <w:p w14:paraId="5DCC7BCF" w14:textId="77777777" w:rsidR="00AF7BAC" w:rsidRDefault="00AF7BAC">
                    <w:pPr>
                      <w:spacing w:before="26" w:line="265" w:lineRule="exact"/>
                      <w:ind w:right="13"/>
                      <w:jc w:val="center"/>
                    </w:pPr>
                  </w:p>
                </w:txbxContent>
              </v:textbox>
            </v:shape>
            <v:shape id="_x0000_s1035" type="#_x0000_t202" alt="" style="position:absolute;left:5648;top:1667;width:1330;height:514;mso-wrap-style:square;v-text-anchor:top" filled="f" stroked="f">
              <v:textbox inset="0,0,0,0">
                <w:txbxContent>
                  <w:p w14:paraId="5F70DBEC" w14:textId="77777777" w:rsidR="00AF7BAC" w:rsidRDefault="00240A22" w:rsidP="004D5F3F">
                    <w:pPr>
                      <w:spacing w:line="225" w:lineRule="exact"/>
                      <w:ind w:left="2"/>
                      <w:jc w:val="center"/>
                    </w:pPr>
                    <w:r>
                      <w:rPr>
                        <w:color w:val="FFFFFF"/>
                      </w:rPr>
                      <w:t>Soumettre le formulaire d’ILEC à Santé Canada</w:t>
                    </w:r>
                  </w:p>
                  <w:p w14:paraId="07B1DB1C" w14:textId="77777777" w:rsidR="00AF7BAC" w:rsidRDefault="00AF7BAC" w:rsidP="004D5F3F">
                    <w:pPr>
                      <w:spacing w:before="24" w:line="265" w:lineRule="exact"/>
                      <w:jc w:val="center"/>
                    </w:pPr>
                  </w:p>
                </w:txbxContent>
              </v:textbox>
            </v:shape>
            <v:shape id="_x0000_s1036" type="#_x0000_t202" alt="" style="position:absolute;left:7907;top:1809;width:1312;height:221;mso-wrap-style:square;v-text-anchor:top" filled="f" stroked="f">
              <v:textbox inset="0,0,0,0">
                <w:txbxContent>
                  <w:p w14:paraId="2E0E5356" w14:textId="77777777" w:rsidR="00AF7BAC" w:rsidRDefault="00240A22" w:rsidP="004D5F3F">
                    <w:pPr>
                      <w:spacing w:line="221" w:lineRule="exact"/>
                      <w:jc w:val="center"/>
                    </w:pPr>
                    <w:r>
                      <w:rPr>
                        <w:color w:val="FFFFFF"/>
                      </w:rPr>
                      <w:t>Activation du site</w:t>
                    </w:r>
                  </w:p>
                </w:txbxContent>
              </v:textbox>
            </v:shape>
            <v:shape id="_x0000_s1037" type="#_x0000_t202" alt="" style="position:absolute;left:10252;top:1547;width:1089;height:800;mso-wrap-style:square;v-text-anchor:top" filled="f" stroked="f">
              <v:textbox inset="0,0,0,0">
                <w:txbxContent>
                  <w:p w14:paraId="6B6314D0" w14:textId="77777777" w:rsidR="00AF7BAC" w:rsidRDefault="00240A22" w:rsidP="004D5F3F">
                    <w:pPr>
                      <w:spacing w:line="225" w:lineRule="exact"/>
                      <w:jc w:val="center"/>
                    </w:pPr>
                    <w:r>
                      <w:rPr>
                        <w:color w:val="FFFFFF"/>
                      </w:rPr>
                      <w:t>Chercheur</w:t>
                    </w:r>
                  </w:p>
                  <w:p w14:paraId="53225B89" w14:textId="73FEE66C" w:rsidR="00AF7BAC" w:rsidRDefault="00240A22" w:rsidP="004D5F3F">
                    <w:pPr>
                      <w:spacing w:before="22" w:line="256" w:lineRule="auto"/>
                      <w:ind w:left="158" w:right="35" w:hanging="125"/>
                      <w:jc w:val="center"/>
                    </w:pPr>
                    <w:r>
                      <w:rPr>
                        <w:color w:val="FFFFFF"/>
                      </w:rPr>
                      <w:t>Réunion</w:t>
                    </w:r>
                    <w:r w:rsidR="00937BCC">
                      <w:rPr>
                        <w:color w:val="FFFFFF"/>
                      </w:rPr>
                      <w:br/>
                    </w:r>
                    <w:r>
                      <w:rPr>
                        <w:color w:val="FFFFFF"/>
                      </w:rPr>
                      <w:t>d’entente</w:t>
                    </w:r>
                  </w:p>
                </w:txbxContent>
              </v:textbox>
            </v:shape>
            <v:shape id="_x0000_s1038" type="#_x0000_t202" alt="" style="position:absolute;left:794;top:2934;width:1134;height:1088;mso-wrap-style:square;v-text-anchor:top" filled="f" stroked="f">
              <v:textbox inset="0,0,0,0">
                <w:txbxContent>
                  <w:p w14:paraId="715D3327" w14:textId="77777777" w:rsidR="00AF7BAC" w:rsidRDefault="00240A22">
                    <w:pPr>
                      <w:spacing w:line="225" w:lineRule="exact"/>
                      <w:ind w:left="46" w:right="18"/>
                      <w:jc w:val="center"/>
                    </w:pPr>
                    <w:r>
                      <w:t>Réunion de consultation préalable à la soumission de la DEC, s’il y a lieu</w:t>
                    </w:r>
                  </w:p>
                  <w:p w14:paraId="1F805D93" w14:textId="77777777" w:rsidR="00AF7BAC" w:rsidRDefault="00AF7BAC">
                    <w:pPr>
                      <w:spacing w:before="22" w:line="256" w:lineRule="auto"/>
                      <w:ind w:left="-1" w:right="18"/>
                      <w:jc w:val="center"/>
                    </w:pPr>
                  </w:p>
                </w:txbxContent>
              </v:textbox>
            </v:shape>
            <v:shape id="_x0000_s1039" type="#_x0000_t202" alt="" style="position:absolute;left:9321;top:2932;width:2482;height:797;mso-wrap-style:square;v-text-anchor:top" filled="f" stroked="f">
              <v:textbox inset="0,0,0,0">
                <w:txbxContent>
                  <w:p w14:paraId="045283F6" w14:textId="77777777" w:rsidR="00AF7BAC" w:rsidRDefault="00240A22">
                    <w:pPr>
                      <w:spacing w:line="225" w:lineRule="exact"/>
                      <w:ind w:right="14"/>
                      <w:jc w:val="center"/>
                    </w:pPr>
                    <w:r>
                      <w:t>Contacter la gestionnaire de soutien à la recherche clinique pour examiner les responsabilités du promoteur</w:t>
                    </w:r>
                  </w:p>
                  <w:p w14:paraId="6C9D357A" w14:textId="77777777" w:rsidR="00AF7BAC" w:rsidRDefault="00AF7BAC">
                    <w:pPr>
                      <w:spacing w:before="19" w:line="256" w:lineRule="auto"/>
                      <w:ind w:right="18"/>
                      <w:jc w:val="center"/>
                    </w:pPr>
                  </w:p>
                </w:txbxContent>
              </v:textbox>
            </v:shape>
            <v:shape id="_x0000_s1040" type="#_x0000_t202" alt="" style="position:absolute;left:3958;top:4005;width:1026;height:509;mso-wrap-style:square;v-text-anchor:top" filled="f" stroked="f">
              <v:textbox inset="0,0,0,0">
                <w:txbxContent>
                  <w:p w14:paraId="7BDA9591" w14:textId="77777777" w:rsidR="00AF7BAC" w:rsidRDefault="00240A22">
                    <w:pPr>
                      <w:spacing w:line="225" w:lineRule="exact"/>
                      <w:ind w:right="18"/>
                      <w:jc w:val="center"/>
                    </w:pPr>
                    <w:r>
                      <w:t>Obtenir l’approbation du CÉR</w:t>
                    </w:r>
                  </w:p>
                  <w:p w14:paraId="0BA8C7BA" w14:textId="77777777" w:rsidR="00AF7BAC" w:rsidRDefault="00AF7BAC">
                    <w:pPr>
                      <w:spacing w:before="19" w:line="265" w:lineRule="exact"/>
                      <w:ind w:right="14"/>
                      <w:jc w:val="center"/>
                    </w:pPr>
                  </w:p>
                </w:txbxContent>
              </v:textbox>
            </v:shape>
            <v:shape id="_x0000_s1041" type="#_x0000_t202" alt="" style="position:absolute;left:712;top:4651;width:1305;height:797;mso-wrap-style:square;v-text-anchor:top" filled="f" stroked="f">
              <v:textbox inset="0,0,0,0">
                <w:txbxContent>
                  <w:p w14:paraId="39A5C8B0" w14:textId="77777777" w:rsidR="00AF7BAC" w:rsidRDefault="00240A22">
                    <w:pPr>
                      <w:spacing w:line="225" w:lineRule="exact"/>
                      <w:ind w:left="43" w:right="65"/>
                      <w:jc w:val="center"/>
                    </w:pPr>
                    <w:r>
                      <w:t>Élaborer un protocole conforme aux BPC</w:t>
                    </w:r>
                    <w:r>
                      <w:cr/>
                    </w:r>
                    <w:r>
                      <w:br/>
                      <w:t>et le formulaire de consentement éclairé</w:t>
                    </w:r>
                  </w:p>
                  <w:p w14:paraId="2810DC3C" w14:textId="77777777" w:rsidR="00AF7BAC" w:rsidRDefault="00AF7BAC">
                    <w:pPr>
                      <w:spacing w:before="22" w:line="254" w:lineRule="auto"/>
                      <w:ind w:right="18" w:hanging="4"/>
                      <w:jc w:val="center"/>
                    </w:pPr>
                  </w:p>
                </w:txbxContent>
              </v:textbox>
            </v:shape>
            <v:shape id="_x0000_s1042" type="#_x0000_t202" alt="" style="position:absolute;left:6272;top:3640;width:1079;height:1379;mso-wrap-style:square;v-text-anchor:top" filled="f" stroked="f">
              <v:textbox inset="0,0,0,0">
                <w:txbxContent>
                  <w:p w14:paraId="37E42136" w14:textId="77777777" w:rsidR="00AF7BAC" w:rsidRDefault="00240A22">
                    <w:pPr>
                      <w:spacing w:line="225" w:lineRule="exact"/>
                      <w:ind w:left="77" w:right="96"/>
                      <w:jc w:val="center"/>
                      <w:rPr>
                        <w:b/>
                      </w:rPr>
                    </w:pPr>
                    <w:r>
                      <w:rPr>
                        <w:b/>
                      </w:rPr>
                      <w:t>CÉR ET SC</w:t>
                    </w:r>
                  </w:p>
                  <w:p w14:paraId="45DAED7B" w14:textId="77777777" w:rsidR="00AF7BAC" w:rsidRDefault="00240A22">
                    <w:pPr>
                      <w:spacing w:before="22" w:line="259" w:lineRule="auto"/>
                      <w:ind w:right="18" w:firstLine="3"/>
                      <w:jc w:val="center"/>
                      <w:rPr>
                        <w:b/>
                      </w:rPr>
                    </w:pPr>
                    <w:r>
                      <w:rPr>
                        <w:b/>
                      </w:rPr>
                      <w:t>Obtenir les approbations et contrats définitifs</w:t>
                    </w:r>
                  </w:p>
                </w:txbxContent>
              </v:textbox>
            </v:shape>
            <v:shape id="_x0000_s1043" type="#_x0000_t202" alt="" style="position:absolute;left:8473;top:4336;width:899;height:800;mso-wrap-style:square;v-text-anchor:top" filled="f" stroked="f">
              <v:textbox inset="0,0,0,0">
                <w:txbxContent>
                  <w:p w14:paraId="697DC728" w14:textId="041317F6" w:rsidR="00AF7BAC" w:rsidRDefault="00240A22" w:rsidP="006542B9">
                    <w:pPr>
                      <w:spacing w:line="225" w:lineRule="exact"/>
                      <w:ind w:left="4"/>
                      <w:jc w:val="center"/>
                    </w:pPr>
                    <w:r>
                      <w:rPr>
                        <w:color w:val="FFFFFF"/>
                      </w:rPr>
                      <w:t>S’assurer que toutes les formations sont terminées</w:t>
                    </w:r>
                  </w:p>
                  <w:p w14:paraId="194E3941" w14:textId="77777777" w:rsidR="00AF7BAC" w:rsidRDefault="00AF7BAC" w:rsidP="006542B9">
                    <w:pPr>
                      <w:spacing w:before="22" w:line="256" w:lineRule="auto"/>
                      <w:ind w:left="16" w:hanging="17"/>
                      <w:jc w:val="center"/>
                    </w:pPr>
                  </w:p>
                </w:txbxContent>
              </v:textbox>
            </v:shape>
            <v:shape id="_x0000_s1044" type="#_x0000_t202" alt="" style="position:absolute;left:10439;top:4406;width:1225;height:514;mso-wrap-style:square;v-text-anchor:top" filled="f" stroked="f">
              <v:textbox inset="0,0,0,0">
                <w:txbxContent>
                  <w:p w14:paraId="6B7D3D89" w14:textId="77777777" w:rsidR="00AF7BAC" w:rsidRDefault="00240A22" w:rsidP="006542B9">
                    <w:pPr>
                      <w:spacing w:line="225" w:lineRule="exact"/>
                      <w:ind w:left="-1" w:right="18"/>
                      <w:jc w:val="center"/>
                    </w:pPr>
                    <w:r>
                      <w:rPr>
                        <w:color w:val="FFFFFF"/>
                      </w:rPr>
                      <w:t>Délégation de tâches</w:t>
                    </w:r>
                  </w:p>
                  <w:p w14:paraId="3EAE9FAA" w14:textId="77777777" w:rsidR="00AF7BAC" w:rsidRDefault="00AF7BAC" w:rsidP="006542B9">
                    <w:pPr>
                      <w:spacing w:before="24" w:line="265" w:lineRule="exact"/>
                      <w:ind w:left="3" w:right="18"/>
                      <w:jc w:val="center"/>
                    </w:pPr>
                  </w:p>
                </w:txbxContent>
              </v:textbox>
            </v:shape>
            <v:shape id="_x0000_s1045" type="#_x0000_t202" alt="" style="position:absolute;left:3799;top:5150;width:1324;height:800;mso-wrap-style:square;v-text-anchor:top" filled="f" stroked="f">
              <v:textbox inset="0,0,0,0">
                <w:txbxContent>
                  <w:p w14:paraId="6AE2C8A2" w14:textId="77777777" w:rsidR="00AF7BAC" w:rsidRDefault="00240A22">
                    <w:pPr>
                      <w:spacing w:line="225" w:lineRule="exact"/>
                      <w:ind w:left="3" w:right="18"/>
                      <w:jc w:val="center"/>
                    </w:pPr>
                    <w:r>
                      <w:t>Soumettre la demande au CÉR pour évaluation</w:t>
                    </w:r>
                  </w:p>
                  <w:p w14:paraId="1937D9A1" w14:textId="77777777" w:rsidR="00AF7BAC" w:rsidRDefault="00AF7BAC">
                    <w:pPr>
                      <w:spacing w:before="22" w:line="256" w:lineRule="auto"/>
                      <w:ind w:left="-1" w:right="18"/>
                      <w:jc w:val="center"/>
                    </w:pPr>
                  </w:p>
                </w:txbxContent>
              </v:textbox>
            </v:shape>
            <v:shape id="_x0000_s1046" type="#_x0000_t202" alt="" style="position:absolute;left:722;top:6124;width:1373;height:1378;mso-wrap-style:square;v-text-anchor:top" filled="f" stroked="f">
              <v:textbox inset="0,0,0,0">
                <w:txbxContent>
                  <w:p w14:paraId="7696A6C5" w14:textId="02BB4422" w:rsidR="00AF7BAC" w:rsidRDefault="00240A22" w:rsidP="00E03783">
                    <w:pPr>
                      <w:spacing w:line="225" w:lineRule="exact"/>
                      <w:ind w:left="95" w:right="113"/>
                      <w:jc w:val="center"/>
                    </w:pPr>
                    <w:r>
                      <w:t>Déterminer s’il faut soumettre la demande au CÉR ou à SC en premier ou</w:t>
                    </w:r>
                    <w:r w:rsidR="00E03783">
                      <w:br/>
                      <w:t>en même temps</w:t>
                    </w:r>
                  </w:p>
                </w:txbxContent>
              </v:textbox>
            </v:shape>
            <v:shape id="_x0000_s1047" type="#_x0000_t202" alt="" style="position:absolute;left:6037;top:5764;width:830;height:802;mso-wrap-style:square;v-text-anchor:top" filled="f" stroked="f">
              <v:textbox inset="0,0,0,0">
                <w:txbxContent>
                  <w:p w14:paraId="7798A53D" w14:textId="77777777" w:rsidR="00AF7BAC" w:rsidRDefault="00240A22">
                    <w:pPr>
                      <w:spacing w:line="225" w:lineRule="exact"/>
                      <w:ind w:right="19"/>
                      <w:jc w:val="center"/>
                    </w:pPr>
                    <w:r>
                      <w:t>Approbation de SC</w:t>
                    </w:r>
                  </w:p>
                  <w:p w14:paraId="36081716" w14:textId="77777777" w:rsidR="00AF7BAC" w:rsidRDefault="00AF7BAC">
                    <w:pPr>
                      <w:spacing w:before="22"/>
                      <w:ind w:right="21"/>
                      <w:jc w:val="center"/>
                    </w:pPr>
                  </w:p>
                  <w:p w14:paraId="6F6A7FA1" w14:textId="77777777" w:rsidR="00AF7BAC" w:rsidRDefault="00AF7BAC">
                    <w:pPr>
                      <w:spacing w:before="21" w:line="265" w:lineRule="exact"/>
                      <w:ind w:right="18"/>
                      <w:jc w:val="center"/>
                    </w:pPr>
                  </w:p>
                </w:txbxContent>
              </v:textbox>
            </v:shape>
            <v:shape id="_x0000_s1048" type="#_x0000_t202" alt="" style="position:absolute;left:7883;top:5743;width:950;height:800;mso-wrap-style:square;v-text-anchor:top" filled="f" stroked="f">
              <v:textbox inset="0,0,0,0">
                <w:txbxContent>
                  <w:p w14:paraId="55155703" w14:textId="77777777" w:rsidR="00AF7BAC" w:rsidRDefault="00240A22">
                    <w:pPr>
                      <w:spacing w:line="225" w:lineRule="exact"/>
                      <w:ind w:right="18"/>
                      <w:jc w:val="center"/>
                      <w:rPr>
                        <w:b/>
                      </w:rPr>
                    </w:pPr>
                    <w:r>
                      <w:rPr>
                        <w:b/>
                      </w:rPr>
                      <w:t>Période d’examen de 30 jours de SC</w:t>
                    </w:r>
                  </w:p>
                  <w:p w14:paraId="2EB7E442" w14:textId="77777777" w:rsidR="00AF7BAC" w:rsidRDefault="00AF7BAC">
                    <w:pPr>
                      <w:spacing w:before="22" w:line="256" w:lineRule="auto"/>
                      <w:ind w:right="20"/>
                      <w:jc w:val="center"/>
                      <w:rPr>
                        <w:b/>
                      </w:rPr>
                    </w:pPr>
                  </w:p>
                </w:txbxContent>
              </v:textbox>
            </v:shape>
            <v:shape id="_x0000_s1049" type="#_x0000_t202" alt="" style="position:absolute;left:10082;top:6052;width:1535;height:507;mso-wrap-style:square;v-text-anchor:top" filled="f" stroked="f">
              <v:textbox inset="0,0,0,0">
                <w:txbxContent>
                  <w:p w14:paraId="5F8C1819" w14:textId="77777777" w:rsidR="00AF7BAC" w:rsidRDefault="00240A22">
                    <w:pPr>
                      <w:spacing w:line="225" w:lineRule="exact"/>
                      <w:ind w:right="18"/>
                      <w:jc w:val="center"/>
                    </w:pPr>
                    <w:r>
                      <w:t>Soumettre la demande à SC</w:t>
                    </w:r>
                  </w:p>
                  <w:p w14:paraId="1C855951" w14:textId="77777777" w:rsidR="00AF7BAC" w:rsidRDefault="00AF7BAC">
                    <w:pPr>
                      <w:spacing w:before="17" w:line="265" w:lineRule="exact"/>
                      <w:ind w:right="17"/>
                      <w:jc w:val="center"/>
                    </w:pPr>
                  </w:p>
                </w:txbxContent>
              </v:textbox>
            </v:shape>
            <v:shape id="_x0000_s1050" type="#_x0000_t202" alt="" style="position:absolute;left:2777;top:7286;width:1330;height:221;mso-wrap-style:square;v-text-anchor:top" filled="f" stroked="f">
              <v:textbox inset="0,0,0,0">
                <w:txbxContent>
                  <w:p w14:paraId="6221A5EC" w14:textId="77777777" w:rsidR="00AF7BAC" w:rsidRDefault="00240A22">
                    <w:pPr>
                      <w:spacing w:line="221" w:lineRule="exact"/>
                    </w:pPr>
                    <w:r>
                      <w:t>Santé Canada</w:t>
                    </w:r>
                  </w:p>
                </w:txbxContent>
              </v:textbox>
            </v:shape>
            <v:shape id="_x0000_s1051" type="#_x0000_t202" alt="" style="position:absolute;left:5069;top:7108;width:1478;height:509;mso-wrap-style:square;v-text-anchor:top" filled="f" stroked="f">
              <v:textbox inset="0,0,0,0">
                <w:txbxContent>
                  <w:p w14:paraId="26988CB3" w14:textId="77777777" w:rsidR="00AF7BAC" w:rsidRDefault="00240A22" w:rsidP="00E03783">
                    <w:pPr>
                      <w:spacing w:line="225" w:lineRule="exact"/>
                      <w:ind w:left="31"/>
                      <w:jc w:val="center"/>
                    </w:pPr>
                    <w:r>
                      <w:t>Préparer la demande d’essai clinique</w:t>
                    </w:r>
                  </w:p>
                  <w:p w14:paraId="455A7503" w14:textId="77777777" w:rsidR="00AF7BAC" w:rsidRDefault="00AF7BAC" w:rsidP="00E03783">
                    <w:pPr>
                      <w:spacing w:before="19" w:line="265" w:lineRule="exact"/>
                      <w:jc w:val="center"/>
                    </w:pPr>
                  </w:p>
                </w:txbxContent>
              </v:textbox>
            </v:shape>
            <v:shape id="_x0000_s1052" type="#_x0000_t202" alt="" style="position:absolute;left:7472;top:7106;width:1664;height:800;mso-wrap-style:square;v-text-anchor:top" filled="f" stroked="f">
              <v:textbox inset="0,0,0,0">
                <w:txbxContent>
                  <w:p w14:paraId="6DB44C26" w14:textId="77777777" w:rsidR="00AF7BAC" w:rsidRDefault="00240A22">
                    <w:pPr>
                      <w:spacing w:line="225" w:lineRule="exact"/>
                      <w:ind w:right="17"/>
                      <w:jc w:val="center"/>
                    </w:pPr>
                    <w:r>
                      <w:t>Soumettre la DEC à l’administration pour évaluation</w:t>
                    </w:r>
                  </w:p>
                  <w:p w14:paraId="38DA5234" w14:textId="77777777" w:rsidR="00AF7BAC" w:rsidRDefault="00AF7BAC">
                    <w:pPr>
                      <w:spacing w:before="22" w:line="256" w:lineRule="auto"/>
                      <w:ind w:right="18"/>
                      <w:jc w:val="center"/>
                    </w:pPr>
                  </w:p>
                </w:txbxContent>
              </v:textbox>
            </v:shape>
            <v:shape id="_x0000_s1053" type="#_x0000_t202" alt="" style="position:absolute;left:10041;top:7094;width:1616;height:509;mso-wrap-style:square;v-text-anchor:top" filled="f" stroked="f">
              <v:textbox inset="0,0,0,0">
                <w:txbxContent>
                  <w:p w14:paraId="01BB5032" w14:textId="77777777" w:rsidR="00AF7BAC" w:rsidRDefault="00240A22">
                    <w:pPr>
                      <w:spacing w:line="225" w:lineRule="exact"/>
                      <w:ind w:left="-1" w:right="18"/>
                      <w:jc w:val="center"/>
                    </w:pPr>
                    <w:r>
                      <w:t>Obtenir les signatures une fois la DEC approuvée</w:t>
                    </w:r>
                  </w:p>
                  <w:p w14:paraId="0A0046E3" w14:textId="77777777" w:rsidR="00AF7BAC" w:rsidRDefault="00AF7BAC">
                    <w:pPr>
                      <w:spacing w:before="19" w:line="265" w:lineRule="exact"/>
                      <w:ind w:left="2" w:right="18"/>
                      <w:jc w:val="center"/>
                    </w:pPr>
                  </w:p>
                </w:txbxContent>
              </v:textbox>
            </v:shape>
            <w10:wrap anchorx="page"/>
          </v:group>
        </w:pict>
      </w:r>
    </w:p>
    <w:p w14:paraId="06347DEA" w14:textId="4294B8C6" w:rsidR="00AF7BAC" w:rsidRDefault="00AF7BAC">
      <w:pPr>
        <w:pStyle w:val="BodyText"/>
        <w:rPr>
          <w:sz w:val="20"/>
        </w:rPr>
      </w:pPr>
    </w:p>
    <w:p w14:paraId="26CF3FFE" w14:textId="4F10EFDA" w:rsidR="00AF7BAC" w:rsidRDefault="00AF7BAC">
      <w:pPr>
        <w:pStyle w:val="BodyText"/>
        <w:rPr>
          <w:sz w:val="20"/>
        </w:rPr>
      </w:pPr>
    </w:p>
    <w:p w14:paraId="77D6BFC6" w14:textId="77A0B9B1" w:rsidR="00AF7BAC" w:rsidRDefault="00AF7BAC">
      <w:pPr>
        <w:pStyle w:val="BodyText"/>
        <w:rPr>
          <w:sz w:val="20"/>
        </w:rPr>
      </w:pPr>
    </w:p>
    <w:p w14:paraId="0487FA3B" w14:textId="755B44F4" w:rsidR="00AF7BAC" w:rsidRDefault="00AF7BAC">
      <w:pPr>
        <w:pStyle w:val="BodyText"/>
        <w:rPr>
          <w:sz w:val="20"/>
        </w:rPr>
      </w:pPr>
    </w:p>
    <w:p w14:paraId="6F97611A" w14:textId="5E98365C" w:rsidR="00AF7BAC" w:rsidRDefault="00AF7BAC">
      <w:pPr>
        <w:pStyle w:val="BodyText"/>
        <w:rPr>
          <w:sz w:val="20"/>
        </w:rPr>
      </w:pPr>
    </w:p>
    <w:p w14:paraId="1D752114" w14:textId="26C6A46C" w:rsidR="00AF7BAC" w:rsidRDefault="00AF7BAC">
      <w:pPr>
        <w:pStyle w:val="BodyText"/>
        <w:rPr>
          <w:sz w:val="20"/>
        </w:rPr>
      </w:pPr>
    </w:p>
    <w:p w14:paraId="3182AED8" w14:textId="77777777" w:rsidR="00AF7BAC" w:rsidRDefault="00AF7BAC">
      <w:pPr>
        <w:pStyle w:val="BodyText"/>
        <w:rPr>
          <w:sz w:val="20"/>
        </w:rPr>
      </w:pPr>
    </w:p>
    <w:p w14:paraId="7D7A5F3E" w14:textId="77777777" w:rsidR="00AF7BAC" w:rsidRDefault="00AF7BAC">
      <w:pPr>
        <w:pStyle w:val="BodyText"/>
        <w:rPr>
          <w:sz w:val="20"/>
        </w:rPr>
      </w:pPr>
    </w:p>
    <w:p w14:paraId="5AA4D85D" w14:textId="44233E31" w:rsidR="00AF7BAC" w:rsidRDefault="00AF7BAC">
      <w:pPr>
        <w:pStyle w:val="BodyText"/>
        <w:rPr>
          <w:sz w:val="20"/>
        </w:rPr>
      </w:pPr>
    </w:p>
    <w:p w14:paraId="010D57F5" w14:textId="041E3C95" w:rsidR="00AF7BAC" w:rsidRDefault="00AF7BAC">
      <w:pPr>
        <w:pStyle w:val="BodyText"/>
        <w:rPr>
          <w:sz w:val="20"/>
        </w:rPr>
      </w:pPr>
    </w:p>
    <w:p w14:paraId="77F40241" w14:textId="115DFA99" w:rsidR="00AF7BAC" w:rsidRDefault="00AF7BAC">
      <w:pPr>
        <w:pStyle w:val="BodyText"/>
        <w:rPr>
          <w:sz w:val="20"/>
        </w:rPr>
      </w:pPr>
    </w:p>
    <w:p w14:paraId="670776EA" w14:textId="7F8B2B93" w:rsidR="00AF7BAC" w:rsidRDefault="00AF7BAC">
      <w:pPr>
        <w:pStyle w:val="BodyText"/>
        <w:rPr>
          <w:sz w:val="20"/>
        </w:rPr>
      </w:pPr>
    </w:p>
    <w:p w14:paraId="2469EBC4" w14:textId="57A4ABAE" w:rsidR="00AF7BAC" w:rsidRDefault="00AF7BAC">
      <w:pPr>
        <w:pStyle w:val="BodyText"/>
        <w:rPr>
          <w:sz w:val="20"/>
        </w:rPr>
      </w:pPr>
    </w:p>
    <w:p w14:paraId="0E86823E" w14:textId="77777777" w:rsidR="00AF7BAC" w:rsidRDefault="00AF7BAC">
      <w:pPr>
        <w:pStyle w:val="BodyText"/>
        <w:rPr>
          <w:sz w:val="20"/>
        </w:rPr>
      </w:pPr>
    </w:p>
    <w:p w14:paraId="593F354D" w14:textId="32AE63AF" w:rsidR="00AF7BAC" w:rsidRDefault="00AF7BAC">
      <w:pPr>
        <w:pStyle w:val="BodyText"/>
        <w:rPr>
          <w:sz w:val="20"/>
        </w:rPr>
      </w:pPr>
    </w:p>
    <w:p w14:paraId="68ECAE53" w14:textId="42F22C01" w:rsidR="00AF7BAC" w:rsidRDefault="00AF7BAC">
      <w:pPr>
        <w:pStyle w:val="BodyText"/>
        <w:rPr>
          <w:sz w:val="20"/>
        </w:rPr>
      </w:pPr>
    </w:p>
    <w:p w14:paraId="5AE8A0CF" w14:textId="29969B37" w:rsidR="00AF7BAC" w:rsidRDefault="00AF7BAC">
      <w:pPr>
        <w:pStyle w:val="BodyText"/>
        <w:rPr>
          <w:sz w:val="20"/>
        </w:rPr>
      </w:pPr>
    </w:p>
    <w:p w14:paraId="296E0C4D" w14:textId="72F87D0E" w:rsidR="00AF7BAC" w:rsidRDefault="00AF7BAC">
      <w:pPr>
        <w:pStyle w:val="BodyText"/>
        <w:rPr>
          <w:sz w:val="20"/>
        </w:rPr>
      </w:pPr>
    </w:p>
    <w:p w14:paraId="7DDABD69" w14:textId="7C901416" w:rsidR="00AF7BAC" w:rsidRDefault="00AF7BAC">
      <w:pPr>
        <w:pStyle w:val="BodyText"/>
        <w:rPr>
          <w:sz w:val="20"/>
        </w:rPr>
      </w:pPr>
    </w:p>
    <w:p w14:paraId="4BA1645F" w14:textId="2FC69841" w:rsidR="00AF7BAC" w:rsidRDefault="00AF7BAC">
      <w:pPr>
        <w:pStyle w:val="BodyText"/>
        <w:rPr>
          <w:sz w:val="20"/>
        </w:rPr>
      </w:pPr>
    </w:p>
    <w:p w14:paraId="09947AD7" w14:textId="704E886E" w:rsidR="00AF7BAC" w:rsidRDefault="00AF7BAC">
      <w:pPr>
        <w:pStyle w:val="BodyText"/>
        <w:rPr>
          <w:sz w:val="20"/>
        </w:rPr>
      </w:pPr>
    </w:p>
    <w:p w14:paraId="203933EB" w14:textId="715813BF" w:rsidR="00AF7BAC" w:rsidRDefault="00AF7BAC">
      <w:pPr>
        <w:pStyle w:val="BodyText"/>
        <w:rPr>
          <w:sz w:val="20"/>
        </w:rPr>
      </w:pPr>
    </w:p>
    <w:p w14:paraId="4D897F7C" w14:textId="58DBE1C4" w:rsidR="00AF7BAC" w:rsidRDefault="00AF7BAC">
      <w:pPr>
        <w:pStyle w:val="BodyText"/>
        <w:rPr>
          <w:sz w:val="20"/>
        </w:rPr>
      </w:pPr>
    </w:p>
    <w:p w14:paraId="2EEC8BF8" w14:textId="002301FE" w:rsidR="00AF7BAC" w:rsidRDefault="00AF7BAC">
      <w:pPr>
        <w:pStyle w:val="BodyText"/>
        <w:rPr>
          <w:sz w:val="20"/>
        </w:rPr>
      </w:pPr>
    </w:p>
    <w:p w14:paraId="43C26D5B" w14:textId="2C50C78A" w:rsidR="00AF7BAC" w:rsidRDefault="00AF7BAC">
      <w:pPr>
        <w:pStyle w:val="BodyText"/>
        <w:rPr>
          <w:sz w:val="20"/>
        </w:rPr>
      </w:pPr>
    </w:p>
    <w:p w14:paraId="14EA01BF" w14:textId="58616D4B" w:rsidR="00AF7BAC" w:rsidRDefault="00AF7BAC">
      <w:pPr>
        <w:pStyle w:val="BodyText"/>
        <w:rPr>
          <w:sz w:val="20"/>
        </w:rPr>
      </w:pPr>
    </w:p>
    <w:p w14:paraId="7051AD03" w14:textId="2C7A3602" w:rsidR="00AF7BAC" w:rsidRDefault="00AF7BAC">
      <w:pPr>
        <w:pStyle w:val="BodyText"/>
        <w:rPr>
          <w:sz w:val="20"/>
        </w:rPr>
      </w:pPr>
    </w:p>
    <w:p w14:paraId="1C95CE47" w14:textId="31F3D286" w:rsidR="00DF6D8C" w:rsidRDefault="00DF6D8C">
      <w:pPr>
        <w:pStyle w:val="BodyText"/>
        <w:rPr>
          <w:sz w:val="20"/>
        </w:rPr>
      </w:pPr>
    </w:p>
    <w:p w14:paraId="262DA1DF" w14:textId="373E5979" w:rsidR="00DF6D8C" w:rsidRDefault="00DF6D8C">
      <w:pPr>
        <w:pStyle w:val="BodyText"/>
        <w:rPr>
          <w:sz w:val="20"/>
        </w:rPr>
      </w:pPr>
    </w:p>
    <w:p w14:paraId="1C91B5BF" w14:textId="7FC0AA1B" w:rsidR="00DF6D8C" w:rsidRDefault="00DF6D8C">
      <w:pPr>
        <w:pStyle w:val="BodyText"/>
        <w:rPr>
          <w:sz w:val="20"/>
        </w:rPr>
      </w:pPr>
    </w:p>
    <w:p w14:paraId="2B8F46FB" w14:textId="28F86A4C" w:rsidR="00DF6D8C" w:rsidRDefault="00DF6D8C">
      <w:pPr>
        <w:pStyle w:val="BodyText"/>
        <w:rPr>
          <w:sz w:val="20"/>
        </w:rPr>
      </w:pPr>
    </w:p>
    <w:p w14:paraId="086747E0" w14:textId="21B6231C" w:rsidR="00AF7BAC" w:rsidRDefault="00AF7BAC">
      <w:pPr>
        <w:pStyle w:val="BodyText"/>
        <w:rPr>
          <w:sz w:val="20"/>
        </w:rPr>
      </w:pPr>
    </w:p>
    <w:p w14:paraId="7D3D128B" w14:textId="4A0903F9" w:rsidR="00AF7BAC" w:rsidRDefault="00AF7BAC">
      <w:pPr>
        <w:pStyle w:val="BodyText"/>
        <w:rPr>
          <w:sz w:val="20"/>
        </w:rPr>
      </w:pPr>
    </w:p>
    <w:p w14:paraId="2AFD6B37" w14:textId="7BF46D1F" w:rsidR="00AF7BAC" w:rsidRDefault="00AF7BAC">
      <w:pPr>
        <w:pStyle w:val="BodyText"/>
        <w:spacing w:before="7"/>
        <w:rPr>
          <w:sz w:val="21"/>
        </w:rPr>
      </w:pPr>
    </w:p>
    <w:p w14:paraId="5706D540" w14:textId="6B89AC56" w:rsidR="00AF7BAC" w:rsidRDefault="00492452">
      <w:pPr>
        <w:pStyle w:val="BodyText"/>
        <w:spacing w:before="57"/>
        <w:ind w:left="3720"/>
      </w:pPr>
      <w:r>
        <w:pict w14:anchorId="02DB8B19">
          <v:group id="_x0000_s1026" alt="" style="position:absolute;left:0;text-align:left;margin-left:0;margin-top:-24.9pt;width:169.85pt;height:75.05pt;z-index:251687936;mso-position-horizontal-relative:page" coordorigin=",-498" coordsize="3397,1501">
            <v:shape id="_x0000_s1027" type="#_x0000_t75" alt="" style="position:absolute;top:-499;width:3397;height:1501">
              <v:imagedata r:id="rId48" o:title=""/>
            </v:shape>
            <v:shape id="_x0000_s1028" type="#_x0000_t75" alt="" style="position:absolute;top:-441;width:3072;height:1383">
              <v:imagedata r:id="rId57" o:title=""/>
            </v:shape>
            <v:shape id="_x0000_s1029" type="#_x0000_t75" alt="" style="position:absolute;left:24;top:-451;width:3300;height:1350">
              <v:imagedata r:id="rId58" o:title=""/>
            </v:shape>
            <v:shape id="_x0000_s1030" type="#_x0000_t202" alt="" style="position:absolute;top:-499;width:3397;height:1501;mso-wrap-style:square;v-text-anchor:top" filled="f" stroked="f">
              <v:textbox inset="0,0,0,0">
                <w:txbxContent>
                  <w:p w14:paraId="351B35FB" w14:textId="77777777" w:rsidR="00AF7BAC" w:rsidRDefault="00240A22">
                    <w:pPr>
                      <w:spacing w:before="172" w:line="259" w:lineRule="auto"/>
                      <w:ind w:left="912" w:hanging="212"/>
                      <w:rPr>
                        <w:sz w:val="36"/>
                      </w:rPr>
                    </w:pPr>
                    <w:r>
                      <w:rPr>
                        <w:color w:val="FFFFFF"/>
                        <w:sz w:val="36"/>
                      </w:rPr>
                      <w:t>Services de facilitation</w:t>
                    </w:r>
                  </w:p>
                </w:txbxContent>
              </v:textbox>
            </v:shape>
            <w10:wrap anchorx="page"/>
          </v:group>
        </w:pict>
      </w:r>
      <w:r w:rsidR="00240A22">
        <w:t>Pour obtenir une assistance supplémentaire, veuillez contacter Tammy Beaudoin.</w:t>
      </w:r>
    </w:p>
    <w:p w14:paraId="3C2FE1E6" w14:textId="0F654BE9" w:rsidR="00AF7BAC" w:rsidRDefault="00AF7BAC">
      <w:pPr>
        <w:pStyle w:val="BodyText"/>
      </w:pPr>
    </w:p>
    <w:p w14:paraId="13FA12BE" w14:textId="12E1B975" w:rsidR="00AF7BAC" w:rsidRDefault="00AF7BAC">
      <w:pPr>
        <w:pStyle w:val="BodyText"/>
      </w:pPr>
    </w:p>
    <w:p w14:paraId="7BADC2DC" w14:textId="68FE929F" w:rsidR="00AF7BAC" w:rsidRDefault="00AF7BAC">
      <w:pPr>
        <w:pStyle w:val="BodyText"/>
      </w:pPr>
    </w:p>
    <w:p w14:paraId="02D85D6E" w14:textId="51C6C3EA" w:rsidR="00AF7BAC" w:rsidRDefault="00AF7BAC">
      <w:pPr>
        <w:pStyle w:val="BodyText"/>
      </w:pPr>
    </w:p>
    <w:p w14:paraId="4185071F" w14:textId="26460A72" w:rsidR="00AF7BAC" w:rsidRDefault="00AF7BAC">
      <w:pPr>
        <w:pStyle w:val="BodyText"/>
      </w:pPr>
    </w:p>
    <w:p w14:paraId="276F1904" w14:textId="0DB46AD8" w:rsidR="00AF7BAC" w:rsidRDefault="00AF7BAC">
      <w:pPr>
        <w:pStyle w:val="BodyText"/>
        <w:spacing w:before="2"/>
      </w:pPr>
    </w:p>
    <w:p w14:paraId="6C1F7662" w14:textId="7D571F20" w:rsidR="00AF7BAC" w:rsidRDefault="00240A22" w:rsidP="00DF6D8C">
      <w:pPr>
        <w:pStyle w:val="Heading4"/>
        <w:ind w:left="4568" w:right="3758"/>
        <w:jc w:val="center"/>
      </w:pPr>
      <w:r>
        <w:t>Tammy Beaudoin</w:t>
      </w:r>
    </w:p>
    <w:p w14:paraId="0E0D75D5" w14:textId="3D037CF4" w:rsidR="00AF7BAC" w:rsidRDefault="00240A22" w:rsidP="00DF6D8C">
      <w:pPr>
        <w:spacing w:before="181"/>
        <w:ind w:left="4570" w:right="3758"/>
        <w:jc w:val="center"/>
      </w:pPr>
      <w:r>
        <w:rPr>
          <w:b/>
        </w:rPr>
        <w:t xml:space="preserve">Courriel : </w:t>
      </w:r>
      <w:hyperlink r:id="rId59">
        <w:r>
          <w:rPr>
            <w:color w:val="0462C1"/>
            <w:u w:val="single" w:color="0462C1"/>
          </w:rPr>
          <w:t>tammy.beaudoin@theroyal.ca</w:t>
        </w:r>
      </w:hyperlink>
    </w:p>
    <w:p w14:paraId="356E12F8" w14:textId="77777777" w:rsidR="00AF7BAC" w:rsidRDefault="00AF7BAC" w:rsidP="00DF6D8C">
      <w:pPr>
        <w:pStyle w:val="BodyText"/>
        <w:spacing w:before="4"/>
        <w:ind w:right="3758"/>
        <w:jc w:val="center"/>
        <w:rPr>
          <w:sz w:val="10"/>
        </w:rPr>
      </w:pPr>
    </w:p>
    <w:p w14:paraId="0AE619A2" w14:textId="4407ADBD" w:rsidR="00AF7BAC" w:rsidRDefault="00240A22" w:rsidP="00AD0EBE">
      <w:pPr>
        <w:spacing w:before="56"/>
        <w:ind w:left="4570" w:right="3758"/>
        <w:jc w:val="center"/>
      </w:pPr>
      <w:r>
        <w:rPr>
          <w:b/>
        </w:rPr>
        <w:t xml:space="preserve">Téléphone : </w:t>
      </w:r>
      <w:r>
        <w:t>613-722-6521</w:t>
      </w:r>
      <w:r w:rsidR="00AD0EBE">
        <w:t xml:space="preserve">, </w:t>
      </w:r>
      <w:r>
        <w:t>poste 6214</w:t>
      </w:r>
    </w:p>
    <w:sectPr w:rsidR="00AF7BAC">
      <w:pgSz w:w="12240" w:h="15840"/>
      <w:pgMar w:top="380" w:right="26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aunPenh">
    <w:panose1 w:val="01010101010101010101"/>
    <w:charset w:val="00"/>
    <w:family w:val="auto"/>
    <w:pitch w:val="variable"/>
    <w:sig w:usb0="80000003" w:usb1="00000000" w:usb2="00010000" w:usb3="00000000" w:csb0="0000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3" w:usb1="00000000" w:usb2="0001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8B73D9"/>
    <w:multiLevelType w:val="hybridMultilevel"/>
    <w:tmpl w:val="3E849A8E"/>
    <w:lvl w:ilvl="0" w:tplc="0826D730">
      <w:numFmt w:val="bullet"/>
      <w:lvlText w:val=""/>
      <w:lvlJc w:val="left"/>
      <w:pPr>
        <w:ind w:left="1571" w:hanging="361"/>
      </w:pPr>
      <w:rPr>
        <w:rFonts w:ascii="Symbol" w:eastAsia="Symbol" w:hAnsi="Symbol" w:cs="Symbol" w:hint="default"/>
        <w:w w:val="100"/>
        <w:sz w:val="22"/>
        <w:szCs w:val="22"/>
        <w:lang w:val="en-CA" w:eastAsia="en-CA" w:bidi="en-CA"/>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406D4473"/>
    <w:multiLevelType w:val="hybridMultilevel"/>
    <w:tmpl w:val="6E46039A"/>
    <w:lvl w:ilvl="0" w:tplc="7D909AB2">
      <w:numFmt w:val="bullet"/>
      <w:lvlText w:val=""/>
      <w:lvlJc w:val="left"/>
      <w:pPr>
        <w:ind w:left="3914" w:hanging="360"/>
      </w:pPr>
      <w:rPr>
        <w:rFonts w:ascii="Symbol" w:eastAsia="Symbol" w:hAnsi="Symbol" w:cs="Symbol" w:hint="default"/>
        <w:w w:val="100"/>
        <w:sz w:val="22"/>
        <w:szCs w:val="22"/>
        <w:lang w:val="en-CA" w:eastAsia="en-CA" w:bidi="en-CA"/>
      </w:rPr>
    </w:lvl>
    <w:lvl w:ilvl="1" w:tplc="1A50D394">
      <w:numFmt w:val="bullet"/>
      <w:lvlText w:val="•"/>
      <w:lvlJc w:val="left"/>
      <w:pPr>
        <w:ind w:left="4726" w:hanging="360"/>
      </w:pPr>
      <w:rPr>
        <w:rFonts w:hint="default"/>
        <w:lang w:val="en-CA" w:eastAsia="en-CA" w:bidi="en-CA"/>
      </w:rPr>
    </w:lvl>
    <w:lvl w:ilvl="2" w:tplc="882C6866">
      <w:numFmt w:val="bullet"/>
      <w:lvlText w:val="•"/>
      <w:lvlJc w:val="left"/>
      <w:pPr>
        <w:ind w:left="5532" w:hanging="360"/>
      </w:pPr>
      <w:rPr>
        <w:rFonts w:hint="default"/>
        <w:lang w:val="en-CA" w:eastAsia="en-CA" w:bidi="en-CA"/>
      </w:rPr>
    </w:lvl>
    <w:lvl w:ilvl="3" w:tplc="89AC3156">
      <w:numFmt w:val="bullet"/>
      <w:lvlText w:val="•"/>
      <w:lvlJc w:val="left"/>
      <w:pPr>
        <w:ind w:left="6338" w:hanging="360"/>
      </w:pPr>
      <w:rPr>
        <w:rFonts w:hint="default"/>
        <w:lang w:val="en-CA" w:eastAsia="en-CA" w:bidi="en-CA"/>
      </w:rPr>
    </w:lvl>
    <w:lvl w:ilvl="4" w:tplc="012EBAB6">
      <w:numFmt w:val="bullet"/>
      <w:lvlText w:val="•"/>
      <w:lvlJc w:val="left"/>
      <w:pPr>
        <w:ind w:left="7144" w:hanging="360"/>
      </w:pPr>
      <w:rPr>
        <w:rFonts w:hint="default"/>
        <w:lang w:val="en-CA" w:eastAsia="en-CA" w:bidi="en-CA"/>
      </w:rPr>
    </w:lvl>
    <w:lvl w:ilvl="5" w:tplc="7C9CD710">
      <w:numFmt w:val="bullet"/>
      <w:lvlText w:val="•"/>
      <w:lvlJc w:val="left"/>
      <w:pPr>
        <w:ind w:left="7950" w:hanging="360"/>
      </w:pPr>
      <w:rPr>
        <w:rFonts w:hint="default"/>
        <w:lang w:val="en-CA" w:eastAsia="en-CA" w:bidi="en-CA"/>
      </w:rPr>
    </w:lvl>
    <w:lvl w:ilvl="6" w:tplc="06E4BD1C">
      <w:numFmt w:val="bullet"/>
      <w:lvlText w:val="•"/>
      <w:lvlJc w:val="left"/>
      <w:pPr>
        <w:ind w:left="8756" w:hanging="360"/>
      </w:pPr>
      <w:rPr>
        <w:rFonts w:hint="default"/>
        <w:lang w:val="en-CA" w:eastAsia="en-CA" w:bidi="en-CA"/>
      </w:rPr>
    </w:lvl>
    <w:lvl w:ilvl="7" w:tplc="88F6CCF0">
      <w:numFmt w:val="bullet"/>
      <w:lvlText w:val="•"/>
      <w:lvlJc w:val="left"/>
      <w:pPr>
        <w:ind w:left="9562" w:hanging="360"/>
      </w:pPr>
      <w:rPr>
        <w:rFonts w:hint="default"/>
        <w:lang w:val="en-CA" w:eastAsia="en-CA" w:bidi="en-CA"/>
      </w:rPr>
    </w:lvl>
    <w:lvl w:ilvl="8" w:tplc="C8644008">
      <w:numFmt w:val="bullet"/>
      <w:lvlText w:val="•"/>
      <w:lvlJc w:val="left"/>
      <w:pPr>
        <w:ind w:left="10368" w:hanging="360"/>
      </w:pPr>
      <w:rPr>
        <w:rFonts w:hint="default"/>
        <w:lang w:val="en-CA" w:eastAsia="en-CA" w:bidi="en-CA"/>
      </w:rPr>
    </w:lvl>
  </w:abstractNum>
  <w:abstractNum w:abstractNumId="2" w15:restartNumberingAfterBreak="0">
    <w:nsid w:val="7A432AFB"/>
    <w:multiLevelType w:val="hybridMultilevel"/>
    <w:tmpl w:val="16B0B0AA"/>
    <w:lvl w:ilvl="0" w:tplc="0826D730">
      <w:numFmt w:val="bullet"/>
      <w:lvlText w:val=""/>
      <w:lvlJc w:val="left"/>
      <w:pPr>
        <w:ind w:left="720" w:hanging="361"/>
      </w:pPr>
      <w:rPr>
        <w:rFonts w:ascii="Symbol" w:eastAsia="Symbol" w:hAnsi="Symbol" w:cs="Symbol" w:hint="default"/>
        <w:w w:val="100"/>
        <w:sz w:val="22"/>
        <w:szCs w:val="22"/>
        <w:lang w:val="en-CA" w:eastAsia="en-CA" w:bidi="en-CA"/>
      </w:rPr>
    </w:lvl>
    <w:lvl w:ilvl="1" w:tplc="D9CC1B94">
      <w:numFmt w:val="bullet"/>
      <w:lvlText w:val=""/>
      <w:lvlJc w:val="left"/>
      <w:pPr>
        <w:ind w:left="3914" w:hanging="360"/>
      </w:pPr>
      <w:rPr>
        <w:rFonts w:ascii="Symbol" w:eastAsia="Symbol" w:hAnsi="Symbol" w:cs="Symbol" w:hint="default"/>
        <w:w w:val="100"/>
        <w:sz w:val="22"/>
        <w:szCs w:val="22"/>
        <w:lang w:val="en-CA" w:eastAsia="en-CA" w:bidi="en-CA"/>
      </w:rPr>
    </w:lvl>
    <w:lvl w:ilvl="2" w:tplc="7646FAD2">
      <w:numFmt w:val="bullet"/>
      <w:lvlText w:val=""/>
      <w:lvlJc w:val="left"/>
      <w:pPr>
        <w:ind w:left="4275" w:hanging="361"/>
      </w:pPr>
      <w:rPr>
        <w:rFonts w:ascii="Symbol" w:eastAsia="Symbol" w:hAnsi="Symbol" w:cs="Symbol" w:hint="default"/>
        <w:w w:val="100"/>
        <w:sz w:val="22"/>
        <w:szCs w:val="22"/>
        <w:lang w:val="en-CA" w:eastAsia="en-CA" w:bidi="en-CA"/>
      </w:rPr>
    </w:lvl>
    <w:lvl w:ilvl="3" w:tplc="D54AEE5A">
      <w:numFmt w:val="bullet"/>
      <w:lvlText w:val="•"/>
      <w:lvlJc w:val="left"/>
      <w:pPr>
        <w:ind w:left="3980" w:hanging="361"/>
      </w:pPr>
      <w:rPr>
        <w:rFonts w:hint="default"/>
        <w:lang w:val="en-CA" w:eastAsia="en-CA" w:bidi="en-CA"/>
      </w:rPr>
    </w:lvl>
    <w:lvl w:ilvl="4" w:tplc="8A880188">
      <w:numFmt w:val="bullet"/>
      <w:lvlText w:val="•"/>
      <w:lvlJc w:val="left"/>
      <w:pPr>
        <w:ind w:left="4280" w:hanging="361"/>
      </w:pPr>
      <w:rPr>
        <w:rFonts w:hint="default"/>
        <w:lang w:val="en-CA" w:eastAsia="en-CA" w:bidi="en-CA"/>
      </w:rPr>
    </w:lvl>
    <w:lvl w:ilvl="5" w:tplc="147C311C">
      <w:numFmt w:val="bullet"/>
      <w:lvlText w:val="•"/>
      <w:lvlJc w:val="left"/>
      <w:pPr>
        <w:ind w:left="5563" w:hanging="361"/>
      </w:pPr>
      <w:rPr>
        <w:rFonts w:hint="default"/>
        <w:lang w:val="en-CA" w:eastAsia="en-CA" w:bidi="en-CA"/>
      </w:rPr>
    </w:lvl>
    <w:lvl w:ilvl="6" w:tplc="59B62C3C">
      <w:numFmt w:val="bullet"/>
      <w:lvlText w:val="•"/>
      <w:lvlJc w:val="left"/>
      <w:pPr>
        <w:ind w:left="6846" w:hanging="361"/>
      </w:pPr>
      <w:rPr>
        <w:rFonts w:hint="default"/>
        <w:lang w:val="en-CA" w:eastAsia="en-CA" w:bidi="en-CA"/>
      </w:rPr>
    </w:lvl>
    <w:lvl w:ilvl="7" w:tplc="666CA19E">
      <w:numFmt w:val="bullet"/>
      <w:lvlText w:val="•"/>
      <w:lvlJc w:val="left"/>
      <w:pPr>
        <w:ind w:left="8130" w:hanging="361"/>
      </w:pPr>
      <w:rPr>
        <w:rFonts w:hint="default"/>
        <w:lang w:val="en-CA" w:eastAsia="en-CA" w:bidi="en-CA"/>
      </w:rPr>
    </w:lvl>
    <w:lvl w:ilvl="8" w:tplc="C34CB642">
      <w:numFmt w:val="bullet"/>
      <w:lvlText w:val="•"/>
      <w:lvlJc w:val="left"/>
      <w:pPr>
        <w:ind w:left="9413" w:hanging="361"/>
      </w:pPr>
      <w:rPr>
        <w:rFonts w:hint="default"/>
        <w:lang w:val="en-CA" w:eastAsia="en-CA" w:bidi="en-C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AF7BAC"/>
    <w:rsid w:val="00003D6A"/>
    <w:rsid w:val="000D02DF"/>
    <w:rsid w:val="001766E1"/>
    <w:rsid w:val="00181A42"/>
    <w:rsid w:val="001873FC"/>
    <w:rsid w:val="00240A22"/>
    <w:rsid w:val="00333A16"/>
    <w:rsid w:val="00383F8F"/>
    <w:rsid w:val="003C4B4A"/>
    <w:rsid w:val="004109BA"/>
    <w:rsid w:val="00492452"/>
    <w:rsid w:val="004D5F3F"/>
    <w:rsid w:val="0054704D"/>
    <w:rsid w:val="005547D7"/>
    <w:rsid w:val="005558F4"/>
    <w:rsid w:val="006038D5"/>
    <w:rsid w:val="00651C5A"/>
    <w:rsid w:val="006542B9"/>
    <w:rsid w:val="006D5D56"/>
    <w:rsid w:val="00723CCD"/>
    <w:rsid w:val="0074053E"/>
    <w:rsid w:val="007957D2"/>
    <w:rsid w:val="007E5456"/>
    <w:rsid w:val="00816C0C"/>
    <w:rsid w:val="008D5676"/>
    <w:rsid w:val="008E68E9"/>
    <w:rsid w:val="00911A42"/>
    <w:rsid w:val="00920B48"/>
    <w:rsid w:val="0092343C"/>
    <w:rsid w:val="00937BCC"/>
    <w:rsid w:val="00972055"/>
    <w:rsid w:val="0099564A"/>
    <w:rsid w:val="009B3AE4"/>
    <w:rsid w:val="00A53293"/>
    <w:rsid w:val="00A62B68"/>
    <w:rsid w:val="00AD0EBE"/>
    <w:rsid w:val="00AF7BAC"/>
    <w:rsid w:val="00C16CA1"/>
    <w:rsid w:val="00C81234"/>
    <w:rsid w:val="00D35B18"/>
    <w:rsid w:val="00D7068C"/>
    <w:rsid w:val="00D853C3"/>
    <w:rsid w:val="00DF5AB6"/>
    <w:rsid w:val="00DF6D8C"/>
    <w:rsid w:val="00E03783"/>
    <w:rsid w:val="00E11452"/>
    <w:rsid w:val="00E54C2F"/>
    <w:rsid w:val="00EA1179"/>
    <w:rsid w:val="00EA259F"/>
    <w:rsid w:val="00F370A3"/>
    <w:rsid w:val="00F70D9A"/>
  </w:rsids>
  <m:mathPr>
    <m:mathFont m:val="Cambria Math"/>
    <m:brkBin m:val="before"/>
    <m:brkBinSub m:val="--"/>
    <m:smallFrac m:val="0"/>
    <m:dispDef/>
    <m:lMargin m:val="0"/>
    <m:rMargin m:val="0"/>
    <m:defJc m:val="centerGroup"/>
    <m:wrapIndent m:val="1440"/>
    <m:intLim m:val="subSup"/>
    <m:naryLim m:val="undOvr"/>
  </m:mathPr>
  <w:themeFontLang w:bidi="km-KH"/>
  <w:clrSchemeMapping w:bg1="light1" w:t1="dark1" w:bg2="light2" w:t2="dark2" w:accent1="accent1" w:accent2="accent2" w:accent3="accent3" w:accent4="accent4" w:accent5="accent5" w:accent6="accent6" w:hyperlink="hyperlink" w:followedHyperlink="followedHyperlink"/>
  <w:shapeDefaults>
    <o:shapedefaults v:ext="edit" spidmax="1137"/>
    <o:shapelayout v:ext="edit">
      <o:idmap v:ext="edit" data="1"/>
    </o:shapelayout>
  </w:shapeDefaults>
  <w:decimalSymbol w:val="."/>
  <w:listSeparator w:val=","/>
  <w14:docId w14:val="6DE0C95B"/>
  <w15:docId w15:val="{E147DCC2-EBE8-1B40-AD9D-CF9F478C8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eastAsia="en-CA" w:bidi="en-CA"/>
    </w:rPr>
  </w:style>
  <w:style w:type="paragraph" w:styleId="Heading1">
    <w:name w:val="heading 1"/>
    <w:basedOn w:val="Normal"/>
    <w:uiPriority w:val="9"/>
    <w:qFormat/>
    <w:pPr>
      <w:ind w:right="1177"/>
      <w:jc w:val="right"/>
      <w:outlineLvl w:val="0"/>
    </w:pPr>
    <w:rPr>
      <w:sz w:val="64"/>
      <w:szCs w:val="64"/>
    </w:rPr>
  </w:style>
  <w:style w:type="paragraph" w:styleId="Heading2">
    <w:name w:val="heading 2"/>
    <w:basedOn w:val="Normal"/>
    <w:uiPriority w:val="9"/>
    <w:unhideWhenUsed/>
    <w:qFormat/>
    <w:pPr>
      <w:spacing w:before="28"/>
      <w:ind w:right="1177"/>
      <w:jc w:val="right"/>
      <w:outlineLvl w:val="1"/>
    </w:pPr>
    <w:rPr>
      <w:sz w:val="36"/>
      <w:szCs w:val="36"/>
    </w:rPr>
  </w:style>
  <w:style w:type="paragraph" w:styleId="Heading3">
    <w:name w:val="heading 3"/>
    <w:basedOn w:val="Normal"/>
    <w:uiPriority w:val="9"/>
    <w:unhideWhenUsed/>
    <w:qFormat/>
    <w:pPr>
      <w:spacing w:before="45"/>
      <w:outlineLvl w:val="2"/>
    </w:pPr>
    <w:rPr>
      <w:sz w:val="28"/>
      <w:szCs w:val="28"/>
    </w:rPr>
  </w:style>
  <w:style w:type="paragraph" w:styleId="Heading4">
    <w:name w:val="heading 4"/>
    <w:basedOn w:val="Normal"/>
    <w:uiPriority w:val="9"/>
    <w:unhideWhenUsed/>
    <w:qFormat/>
    <w:pPr>
      <w:ind w:left="3554"/>
      <w:outlineLvl w:val="3"/>
    </w:pPr>
    <w:rPr>
      <w:b/>
      <w:bCs/>
    </w:rPr>
  </w:style>
  <w:style w:type="paragraph" w:styleId="Heading5">
    <w:name w:val="heading 5"/>
    <w:basedOn w:val="Normal"/>
    <w:uiPriority w:val="9"/>
    <w:unhideWhenUsed/>
    <w:qFormat/>
    <w:pPr>
      <w:spacing w:before="165"/>
      <w:ind w:left="720"/>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4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hyperlink" Target="https://www.canada.ca/fr/sante-canada/services/medicaments-produits-sante/medicaments/demandes-presentations/lignes-directrices/international-conference-harmonisation/efficacite/intention-industrie-bonnes-pratiques-cliniques-directives-consolidees-theme.html" TargetMode="External"/><Relationship Id="rId26" Type="http://schemas.openxmlformats.org/officeDocument/2006/relationships/hyperlink" Target="https://www.canada.ca/content/dam/hc-sc/migration/hc-sc/dhp-mps/alt_formats/pdf/brgtherap/applic-demande/guides/radiopharm/pers_guide_ligne_prep-fra.pdf" TargetMode="External"/><Relationship Id="rId39" Type="http://schemas.openxmlformats.org/officeDocument/2006/relationships/image" Target="media/image22.png"/><Relationship Id="rId21" Type="http://schemas.openxmlformats.org/officeDocument/2006/relationships/image" Target="media/image13.png"/><Relationship Id="rId34" Type="http://schemas.openxmlformats.org/officeDocument/2006/relationships/hyperlink" Target="http://oreo.rohcg.on.ca/departments/imhr/documents/024ITAforMedicalDevices.pdf" TargetMode="External"/><Relationship Id="rId42" Type="http://schemas.openxmlformats.org/officeDocument/2006/relationships/image" Target="media/image25.png"/><Relationship Id="rId47" Type="http://schemas.openxmlformats.org/officeDocument/2006/relationships/image" Target="media/image29.png"/><Relationship Id="rId50" Type="http://schemas.openxmlformats.org/officeDocument/2006/relationships/image" Target="media/image32.png"/><Relationship Id="rId55" Type="http://schemas.openxmlformats.org/officeDocument/2006/relationships/image" Target="media/image36.png"/><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17.png"/><Relationship Id="rId11" Type="http://schemas.openxmlformats.org/officeDocument/2006/relationships/image" Target="media/image6.png"/><Relationship Id="rId24" Type="http://schemas.openxmlformats.org/officeDocument/2006/relationships/hyperlink" Target="https://www.canada.ca/fr/sante-canada/services/medicaments-produits-sante/medicaments/demandes-presentations/lignes-directrices/common-technical-document/mise-jour-ligne-directrice-preparation-activites-reglementation-format-electronique-autre-format.html" TargetMode="External"/><Relationship Id="rId32" Type="http://schemas.openxmlformats.org/officeDocument/2006/relationships/hyperlink" Target="http://oreo.rohcg.on.ca/departments/imhr/documents/023CTANaturalHealthProducts.pdf" TargetMode="External"/><Relationship Id="rId37" Type="http://schemas.openxmlformats.org/officeDocument/2006/relationships/image" Target="media/image20.png"/><Relationship Id="rId40" Type="http://schemas.openxmlformats.org/officeDocument/2006/relationships/image" Target="media/image23.png"/><Relationship Id="rId45" Type="http://schemas.openxmlformats.org/officeDocument/2006/relationships/image" Target="media/image27.png"/><Relationship Id="rId53" Type="http://schemas.openxmlformats.org/officeDocument/2006/relationships/image" Target="media/image34.png"/><Relationship Id="rId58" Type="http://schemas.openxmlformats.org/officeDocument/2006/relationships/image" Target="media/image39.png"/><Relationship Id="rId5" Type="http://schemas.openxmlformats.org/officeDocument/2006/relationships/image" Target="media/image1.png"/><Relationship Id="rId61" Type="http://schemas.openxmlformats.org/officeDocument/2006/relationships/theme" Target="theme/theme1.xml"/><Relationship Id="rId19" Type="http://schemas.openxmlformats.org/officeDocument/2006/relationships/hyperlink" Target="http://oreo.rohcg.on.ca/departments/imhr/Resources-ResearchEthicsBoard.cfm" TargetMode="External"/><Relationship Id="rId14" Type="http://schemas.openxmlformats.org/officeDocument/2006/relationships/image" Target="media/image9.png"/><Relationship Id="rId22" Type="http://schemas.openxmlformats.org/officeDocument/2006/relationships/image" Target="media/image14.png"/><Relationship Id="rId27" Type="http://schemas.openxmlformats.org/officeDocument/2006/relationships/image" Target="media/image15.png"/><Relationship Id="rId30" Type="http://schemas.openxmlformats.org/officeDocument/2006/relationships/hyperlink" Target="mailto:tammy.beaudoin@theroyal.ca" TargetMode="External"/><Relationship Id="rId35" Type="http://schemas.openxmlformats.org/officeDocument/2006/relationships/image" Target="media/image18.png"/><Relationship Id="rId43" Type="http://schemas.openxmlformats.org/officeDocument/2006/relationships/hyperlink" Target="https://www.canada.ca/fr/sante-canada/services/medicaments-produits-sante/naturels-sans-ordonnance/legislation-lignes-directrices/documents-reference/essais-cliniques.html%23aAppendix_4" TargetMode="External"/><Relationship Id="rId48" Type="http://schemas.openxmlformats.org/officeDocument/2006/relationships/image" Target="media/image30.png"/><Relationship Id="rId56" Type="http://schemas.openxmlformats.org/officeDocument/2006/relationships/image" Target="media/image37.png"/><Relationship Id="rId8" Type="http://schemas.openxmlformats.org/officeDocument/2006/relationships/image" Target="media/image3.png"/><Relationship Id="rId51" Type="http://schemas.openxmlformats.org/officeDocument/2006/relationships/hyperlink" Target="https://www.canada.ca/fr/sante-canada/services/medicaments-produits-sante/medicaments/demandes-presentations/lignes-directrices/essais-cliniques/reunion-consultation-prealable-depot-demande.html" TargetMode="External"/><Relationship Id="rId3" Type="http://schemas.openxmlformats.org/officeDocument/2006/relationships/settings" Target="settings.xml"/><Relationship Id="rId12" Type="http://schemas.openxmlformats.org/officeDocument/2006/relationships/image" Target="media/image7.png"/><Relationship Id="rId17" Type="http://schemas.openxmlformats.org/officeDocument/2006/relationships/image" Target="media/image11.png"/><Relationship Id="rId25" Type="http://schemas.openxmlformats.org/officeDocument/2006/relationships/hyperlink" Target="https://www.canada.ca/fr/sante-canada/services/medicaments-produits-sante/naturels-sans-ordonnance/legislation-lignes-directrices/documents-reference/essais-cliniques.html" TargetMode="External"/><Relationship Id="rId33" Type="http://schemas.openxmlformats.org/officeDocument/2006/relationships/hyperlink" Target="http://oreo.rohcg.on.ca/departments/imhr/documents/024ITAforMedicalDevices.pdf" TargetMode="External"/><Relationship Id="rId38" Type="http://schemas.openxmlformats.org/officeDocument/2006/relationships/image" Target="media/image21.png"/><Relationship Id="rId46" Type="http://schemas.openxmlformats.org/officeDocument/2006/relationships/image" Target="media/image28.png"/><Relationship Id="rId59" Type="http://schemas.openxmlformats.org/officeDocument/2006/relationships/hyperlink" Target="mailto:tammy.beaudoin@theroyal.ca" TargetMode="External"/><Relationship Id="rId20" Type="http://schemas.openxmlformats.org/officeDocument/2006/relationships/image" Target="media/image12.png"/><Relationship Id="rId41" Type="http://schemas.openxmlformats.org/officeDocument/2006/relationships/image" Target="media/image24.png"/><Relationship Id="rId54"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hyperlink" Target="mailto:Tammy.beaudoin@theroyal.ca" TargetMode="External"/><Relationship Id="rId15" Type="http://schemas.openxmlformats.org/officeDocument/2006/relationships/hyperlink" Target="http://oreo.rohcg.on.ca/departments/imhr/documents/024ITAforMedicalDevices.pdf" TargetMode="External"/><Relationship Id="rId23" Type="http://schemas.openxmlformats.org/officeDocument/2006/relationships/hyperlink" Target="https://www.canada.ca/fr/sante-canada/services/medicaments-produits-sante/medicaments/demandes-presentations/lignes-directrices/essais-cliniques/promoteurs-essais-cliniques-demandes.html" TargetMode="External"/><Relationship Id="rId28" Type="http://schemas.openxmlformats.org/officeDocument/2006/relationships/image" Target="media/image16.png"/><Relationship Id="rId36" Type="http://schemas.openxmlformats.org/officeDocument/2006/relationships/image" Target="media/image19.png"/><Relationship Id="rId49" Type="http://schemas.openxmlformats.org/officeDocument/2006/relationships/image" Target="media/image31.png"/><Relationship Id="rId57" Type="http://schemas.openxmlformats.org/officeDocument/2006/relationships/image" Target="media/image38.png"/><Relationship Id="rId10" Type="http://schemas.openxmlformats.org/officeDocument/2006/relationships/image" Target="media/image5.png"/><Relationship Id="rId31" Type="http://schemas.openxmlformats.org/officeDocument/2006/relationships/hyperlink" Target="http://oreo.rohcg.on.ca/departments/imhr/documents/018CTADrugs.pdf" TargetMode="External"/><Relationship Id="rId44" Type="http://schemas.openxmlformats.org/officeDocument/2006/relationships/image" Target="media/image26.png"/><Relationship Id="rId52" Type="http://schemas.openxmlformats.org/officeDocument/2006/relationships/image" Target="media/image33.png"/><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7</Pages>
  <Words>2663</Words>
  <Characters>15180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 guide to the health Canada Application process</vt:lpstr>
    </vt:vector>
  </TitlesOfParts>
  <Company/>
  <LinksUpToDate>false</LinksUpToDate>
  <CharactersWithSpaces>17808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to the health Canada Application process</dc:title>
  <dc:subject>For clinical trials initiated at The Royal’s Institute of Mental Health Research</dc:subject>
  <dc:creator>Prepared by Tammy Beaudoin, Clinical Research Support Manager</dc:creator>
  <cp:lastModifiedBy>Microsoft Office User</cp:lastModifiedBy>
  <cp:revision>47</cp:revision>
  <dcterms:created xsi:type="dcterms:W3CDTF">2021-05-07T16:05:00Z</dcterms:created>
  <dcterms:modified xsi:type="dcterms:W3CDTF">2021-07-15T14:54:00Z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2019-08-01T00:00:00Z</vt:filetime>
  </property>
  <property fmtid="{D5CDD505-2E9C-101B-9397-08002B2CF9AE}" pid="3" name="Creator">
    <vt:lpwstr>Microsoft® Word 2016</vt:lpwstr>
  </property>
  <property fmtid="{D5CDD505-2E9C-101B-9397-08002B2CF9AE}" pid="4" name="LastSaved">
    <vt:filetime>2021-05-07T00:00:00Z</vt:filetime>
  </property>
</Properties>
</file>